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60" w:rsidRPr="006B1F81" w:rsidRDefault="0041321C" w:rsidP="00175EAF">
      <w:pPr>
        <w:spacing w:after="0" w:line="240" w:lineRule="auto"/>
        <w:jc w:val="center"/>
        <w:rPr>
          <w:b/>
        </w:rPr>
      </w:pPr>
      <w:r>
        <w:rPr>
          <w:b/>
        </w:rPr>
        <w:t xml:space="preserve">ANEXO 1 - </w:t>
      </w:r>
      <w:r w:rsidR="006B1F81" w:rsidRPr="006B1F81">
        <w:rPr>
          <w:b/>
        </w:rPr>
        <w:t>TERMO DE REFERÊNCIA</w:t>
      </w:r>
    </w:p>
    <w:p w:rsidR="006B1F81" w:rsidRPr="00FC2D1A" w:rsidRDefault="00175EAF" w:rsidP="00FC2D1A">
      <w:pPr>
        <w:spacing w:after="0" w:line="240" w:lineRule="auto"/>
        <w:jc w:val="center"/>
      </w:pPr>
      <w:r w:rsidRPr="00FC2D1A">
        <w:t>Serviço</w:t>
      </w:r>
      <w:r w:rsidR="00FC2D1A">
        <w:t>s</w:t>
      </w:r>
      <w:r w:rsidRPr="00FC2D1A">
        <w:t xml:space="preserve"> de </w:t>
      </w:r>
      <w:r w:rsidR="00FC2D1A" w:rsidRPr="00FC2D1A">
        <w:t xml:space="preserve">Intermediação e Gerenciamento de </w:t>
      </w:r>
      <w:r w:rsidRPr="00FC2D1A">
        <w:t xml:space="preserve">Transporte </w:t>
      </w:r>
      <w:r w:rsidR="008C13A6">
        <w:t>Remunerado Privado Individual</w:t>
      </w:r>
    </w:p>
    <w:p w:rsidR="00175EAF" w:rsidRPr="00EB1240" w:rsidRDefault="00175EAF" w:rsidP="004263C7">
      <w:pPr>
        <w:spacing w:after="0"/>
        <w:jc w:val="center"/>
      </w:pPr>
    </w:p>
    <w:p w:rsidR="006B1F81" w:rsidRPr="006576B0" w:rsidRDefault="006B1F81" w:rsidP="004263C7">
      <w:pPr>
        <w:pStyle w:val="Ttulo1"/>
        <w:numPr>
          <w:ilvl w:val="0"/>
          <w:numId w:val="0"/>
        </w:numPr>
        <w:spacing w:before="120" w:after="0"/>
        <w:ind w:left="284" w:hanging="284"/>
      </w:pPr>
      <w:r w:rsidRPr="006576B0">
        <w:t>APRESENTAÇÃO</w:t>
      </w:r>
    </w:p>
    <w:p w:rsidR="00B63037" w:rsidRPr="00A43E5B" w:rsidRDefault="006B1F81" w:rsidP="008A409C">
      <w:pPr>
        <w:spacing w:line="240" w:lineRule="auto"/>
        <w:rPr>
          <w:color w:val="FF0000"/>
        </w:rPr>
      </w:pPr>
      <w:r w:rsidRPr="006576B0">
        <w:tab/>
      </w:r>
      <w:r w:rsidRPr="00705E37">
        <w:t>Est</w:t>
      </w:r>
      <w:r w:rsidR="005B65CA">
        <w:t>e</w:t>
      </w:r>
      <w:r w:rsidR="00A43E5B">
        <w:t xml:space="preserve"> </w:t>
      </w:r>
      <w:r w:rsidRPr="00705E37">
        <w:t xml:space="preserve">Termo de Referência </w:t>
      </w:r>
      <w:r w:rsidR="00E65996">
        <w:t xml:space="preserve">– TR </w:t>
      </w:r>
      <w:r w:rsidRPr="00705E37">
        <w:t xml:space="preserve">traz as especificações dos objetos, as condições obrigatórias de </w:t>
      </w:r>
      <w:r w:rsidR="00EB1240" w:rsidRPr="00705E37">
        <w:t xml:space="preserve">prestação de serviços </w:t>
      </w:r>
      <w:r w:rsidRPr="00705E37">
        <w:t>e as regras de participação para este Registro de Preços de</w:t>
      </w:r>
      <w:r w:rsidR="00C121BD" w:rsidRPr="00705E37">
        <w:t xml:space="preserve"> </w:t>
      </w:r>
      <w:r w:rsidR="001C688F">
        <w:rPr>
          <w:szCs w:val="24"/>
        </w:rPr>
        <w:t xml:space="preserve">serviços de </w:t>
      </w:r>
      <w:r w:rsidR="001C688F" w:rsidRPr="009C5117">
        <w:rPr>
          <w:color w:val="000000" w:themeColor="text1"/>
          <w:lang w:eastAsia="pt-BR"/>
        </w:rPr>
        <w:t>intermediação e gerenciamen</w:t>
      </w:r>
      <w:r w:rsidR="001C688F">
        <w:rPr>
          <w:color w:val="000000" w:themeColor="text1"/>
          <w:lang w:eastAsia="pt-BR"/>
        </w:rPr>
        <w:t xml:space="preserve">to de transporte </w:t>
      </w:r>
      <w:r w:rsidR="008C13A6">
        <w:rPr>
          <w:color w:val="000000" w:themeColor="text1"/>
          <w:lang w:eastAsia="pt-BR"/>
        </w:rPr>
        <w:t>remunerado privado individual</w:t>
      </w:r>
      <w:r w:rsidR="00144103">
        <w:rPr>
          <w:szCs w:val="24"/>
        </w:rPr>
        <w:t>.</w:t>
      </w:r>
      <w:r w:rsidR="00144103" w:rsidRPr="00705E37">
        <w:t xml:space="preserve"> </w:t>
      </w:r>
      <w:r w:rsidRPr="00705E37">
        <w:t>Este processo centraliza as demandas eventuais e futuras dos Órgãos e Entidades do Gove</w:t>
      </w:r>
      <w:r w:rsidR="008B1D2D">
        <w:t>rno do Estado do Rio de Janeiro</w:t>
      </w:r>
      <w:r w:rsidR="0013174E">
        <w:t xml:space="preserve"> que participarão deste registro de preços</w:t>
      </w:r>
      <w:r w:rsidR="002F5F3C">
        <w:t xml:space="preserve"> - ÓRGÃOS PARTICIPANTES -</w:t>
      </w:r>
      <w:r w:rsidR="0013174E">
        <w:t xml:space="preserve">, conforme listagem do Anexo A: Relação de </w:t>
      </w:r>
      <w:r w:rsidR="002F5F3C">
        <w:t xml:space="preserve">Órgãos </w:t>
      </w:r>
      <w:r w:rsidR="0013174E">
        <w:t>Participantes</w:t>
      </w:r>
      <w:r w:rsidR="00A43E5B">
        <w:t>.</w:t>
      </w:r>
    </w:p>
    <w:p w:rsidR="006B1F81" w:rsidRPr="006576B0" w:rsidRDefault="007D6203" w:rsidP="008A409C">
      <w:pPr>
        <w:pStyle w:val="ListadaApresentao"/>
        <w:spacing w:line="240" w:lineRule="auto"/>
      </w:pPr>
      <w:r w:rsidRPr="006576B0">
        <w:rPr>
          <w:b/>
        </w:rPr>
        <w:t>Órgão Gerenciador</w:t>
      </w:r>
      <w:r w:rsidRPr="006576B0">
        <w:t>: Secretaria de Estado d</w:t>
      </w:r>
      <w:r w:rsidR="00144103">
        <w:t>a</w:t>
      </w:r>
      <w:r w:rsidRPr="006576B0">
        <w:t xml:space="preserve"> </w:t>
      </w:r>
      <w:r w:rsidR="00144103">
        <w:t>Casa Civil</w:t>
      </w:r>
      <w:r w:rsidRPr="006576B0">
        <w:t xml:space="preserve"> e </w:t>
      </w:r>
      <w:r w:rsidR="00144103">
        <w:t>Governança - SECCG</w:t>
      </w:r>
      <w:r w:rsidRPr="006576B0">
        <w:t>.</w:t>
      </w:r>
    </w:p>
    <w:p w:rsidR="007D6203" w:rsidRDefault="00D14244" w:rsidP="008A409C">
      <w:pPr>
        <w:pStyle w:val="ListadaApresentao"/>
        <w:spacing w:line="240" w:lineRule="auto"/>
      </w:pPr>
      <w:r w:rsidRPr="006576B0">
        <w:rPr>
          <w:b/>
        </w:rPr>
        <w:t>Prazo da Ata</w:t>
      </w:r>
      <w:r w:rsidRPr="00246E19">
        <w:t xml:space="preserve">: </w:t>
      </w:r>
      <w:r w:rsidR="00C121BD" w:rsidRPr="00246E19">
        <w:t>12</w:t>
      </w:r>
      <w:r w:rsidRPr="00246E19">
        <w:t xml:space="preserve"> (</w:t>
      </w:r>
      <w:r w:rsidR="00C121BD" w:rsidRPr="00246E19">
        <w:t>doze</w:t>
      </w:r>
      <w:r w:rsidRPr="00246E19">
        <w:t>) meses.</w:t>
      </w:r>
    </w:p>
    <w:p w:rsidR="00CD23AE" w:rsidRPr="00D87CCC" w:rsidRDefault="00D33497" w:rsidP="008A409C">
      <w:pPr>
        <w:pStyle w:val="ListadaApresentao"/>
        <w:spacing w:line="240" w:lineRule="auto"/>
      </w:pPr>
      <w:r w:rsidRPr="008B505A">
        <w:rPr>
          <w:b/>
        </w:rPr>
        <w:t>Prazo dos Contratos</w:t>
      </w:r>
      <w:r w:rsidRPr="00D87CCC">
        <w:t>:</w:t>
      </w:r>
      <w:r w:rsidR="00023BEF" w:rsidRPr="00D87CCC">
        <w:t xml:space="preserve"> </w:t>
      </w:r>
      <w:r w:rsidR="00B8732C">
        <w:t>12</w:t>
      </w:r>
      <w:r w:rsidRPr="00D87CCC">
        <w:t xml:space="preserve"> (</w:t>
      </w:r>
      <w:r w:rsidR="00B8732C">
        <w:t>doze</w:t>
      </w:r>
      <w:r w:rsidRPr="00D87CCC">
        <w:t>) meses</w:t>
      </w:r>
      <w:r w:rsidR="008B505A" w:rsidRPr="00D87CCC">
        <w:t>.</w:t>
      </w:r>
    </w:p>
    <w:p w:rsidR="00D119E0" w:rsidRPr="00D119E0" w:rsidRDefault="00705E37" w:rsidP="008A409C">
      <w:pPr>
        <w:pStyle w:val="ListadaApresentao"/>
        <w:spacing w:line="240" w:lineRule="auto"/>
        <w:rPr>
          <w:b/>
        </w:rPr>
      </w:pPr>
      <w:r w:rsidRPr="0024541E">
        <w:rPr>
          <w:b/>
        </w:rPr>
        <w:t>Objeto</w:t>
      </w:r>
      <w:r w:rsidR="00763FBD" w:rsidRPr="0024541E">
        <w:rPr>
          <w:b/>
        </w:rPr>
        <w:t xml:space="preserve">: </w:t>
      </w:r>
      <w:r w:rsidR="00BB26CE" w:rsidRPr="0024541E">
        <w:t>o objeto</w:t>
      </w:r>
      <w:r w:rsidRPr="0024541E">
        <w:t xml:space="preserve"> deste Termo de Referência</w:t>
      </w:r>
      <w:r w:rsidR="00BB26CE" w:rsidRPr="0024541E">
        <w:t xml:space="preserve"> é </w:t>
      </w:r>
      <w:r w:rsidRPr="0024541E">
        <w:t xml:space="preserve">Registro de Preços </w:t>
      </w:r>
      <w:r w:rsidR="00624965" w:rsidRPr="0024541E">
        <w:t xml:space="preserve">de </w:t>
      </w:r>
      <w:r w:rsidR="00144103">
        <w:rPr>
          <w:szCs w:val="24"/>
        </w:rPr>
        <w:t xml:space="preserve">serviços de </w:t>
      </w:r>
      <w:r w:rsidR="0007154B" w:rsidRPr="009C5117">
        <w:rPr>
          <w:color w:val="000000" w:themeColor="text1"/>
          <w:lang w:eastAsia="pt-BR"/>
        </w:rPr>
        <w:t>intermediação e gerenciamen</w:t>
      </w:r>
      <w:r w:rsidR="0007154B">
        <w:rPr>
          <w:color w:val="000000" w:themeColor="text1"/>
          <w:lang w:eastAsia="pt-BR"/>
        </w:rPr>
        <w:t xml:space="preserve">to de transporte </w:t>
      </w:r>
      <w:r w:rsidR="008C13A6">
        <w:rPr>
          <w:color w:val="000000" w:themeColor="text1"/>
          <w:lang w:eastAsia="pt-BR"/>
        </w:rPr>
        <w:t>remunerado privado individual</w:t>
      </w:r>
      <w:r w:rsidR="00FE35C0">
        <w:rPr>
          <w:color w:val="000000" w:themeColor="text1"/>
          <w:lang w:eastAsia="pt-BR"/>
        </w:rPr>
        <w:t>,</w:t>
      </w:r>
      <w:r w:rsidR="00A43C74" w:rsidRPr="0024541E">
        <w:t xml:space="preserve"> </w:t>
      </w:r>
      <w:r w:rsidR="00B53A33" w:rsidRPr="0024541E">
        <w:t xml:space="preserve">para atender as necessidades dos </w:t>
      </w:r>
      <w:r w:rsidR="00E23EFF">
        <w:t>ÓRGÃOS PARTICIPANTES</w:t>
      </w:r>
      <w:r w:rsidR="00D33497" w:rsidRPr="0024541E">
        <w:t>.</w:t>
      </w:r>
    </w:p>
    <w:p w:rsidR="00705E37" w:rsidRPr="00D119E0" w:rsidRDefault="00D119E0" w:rsidP="008A409C">
      <w:pPr>
        <w:pStyle w:val="ListadaApresentao"/>
        <w:spacing w:line="240" w:lineRule="auto"/>
        <w:rPr>
          <w:b/>
        </w:rPr>
      </w:pPr>
      <w:r>
        <w:rPr>
          <w:b/>
        </w:rPr>
        <w:t xml:space="preserve">Previsão De KM Rodados Mensais: </w:t>
      </w:r>
      <w:r w:rsidRPr="00C85059">
        <w:t>300.000 km</w:t>
      </w:r>
      <w:r w:rsidR="00860A43">
        <w:t xml:space="preserve"> rodados</w:t>
      </w:r>
    </w:p>
    <w:p w:rsidR="00D119E0" w:rsidRDefault="00D119E0" w:rsidP="008A409C">
      <w:pPr>
        <w:pStyle w:val="ListadaApresentao"/>
        <w:spacing w:line="240" w:lineRule="auto"/>
        <w:rPr>
          <w:b/>
        </w:rPr>
      </w:pPr>
      <w:r>
        <w:rPr>
          <w:b/>
        </w:rPr>
        <w:t>Previsão De KM Rodados Global (12 meses): 3.600.000 km</w:t>
      </w:r>
      <w:r w:rsidR="00860A43">
        <w:rPr>
          <w:b/>
        </w:rPr>
        <w:t xml:space="preserve"> rodados</w:t>
      </w:r>
    </w:p>
    <w:p w:rsidR="00C85059" w:rsidRPr="0024541E" w:rsidRDefault="00C85059" w:rsidP="008A409C">
      <w:pPr>
        <w:pStyle w:val="ListadaApresentao"/>
        <w:spacing w:line="240" w:lineRule="auto"/>
        <w:rPr>
          <w:b/>
        </w:rPr>
      </w:pPr>
      <w:r>
        <w:rPr>
          <w:b/>
        </w:rPr>
        <w:t>Valor Estimado Financeiro</w:t>
      </w:r>
      <w:r w:rsidR="00AB58C4">
        <w:rPr>
          <w:b/>
        </w:rPr>
        <w:t xml:space="preserve"> - Unitário</w:t>
      </w:r>
      <w:r>
        <w:rPr>
          <w:b/>
        </w:rPr>
        <w:t>: R$ 2,70</w:t>
      </w:r>
    </w:p>
    <w:p w:rsidR="00492D68" w:rsidRPr="0024541E" w:rsidRDefault="00492D68" w:rsidP="00D14244">
      <w:pPr>
        <w:pStyle w:val="ListadaApresentao"/>
        <w:rPr>
          <w:b/>
        </w:rPr>
      </w:pPr>
      <w:r w:rsidRPr="0024541E">
        <w:rPr>
          <w:b/>
        </w:rPr>
        <w:t xml:space="preserve">Valor Financeiro Estimado </w:t>
      </w:r>
      <w:r w:rsidR="00AB58C4">
        <w:rPr>
          <w:b/>
        </w:rPr>
        <w:t xml:space="preserve">- </w:t>
      </w:r>
      <w:r w:rsidRPr="0024541E">
        <w:rPr>
          <w:b/>
        </w:rPr>
        <w:t>Global</w:t>
      </w:r>
      <w:r w:rsidR="0024541E">
        <w:rPr>
          <w:b/>
        </w:rPr>
        <w:t xml:space="preserve"> </w:t>
      </w:r>
      <w:r w:rsidR="00AB58C4">
        <w:rPr>
          <w:b/>
        </w:rPr>
        <w:t>para</w:t>
      </w:r>
      <w:r w:rsidR="0024541E">
        <w:rPr>
          <w:b/>
        </w:rPr>
        <w:t xml:space="preserve"> </w:t>
      </w:r>
      <w:r w:rsidR="00B8732C">
        <w:rPr>
          <w:b/>
        </w:rPr>
        <w:t>12</w:t>
      </w:r>
      <w:r w:rsidR="0024541E">
        <w:rPr>
          <w:b/>
        </w:rPr>
        <w:t xml:space="preserve"> meses</w:t>
      </w:r>
      <w:r w:rsidRPr="0024541E">
        <w:rPr>
          <w:b/>
        </w:rPr>
        <w:t xml:space="preserve">: </w:t>
      </w:r>
      <w:r w:rsidR="0024541E" w:rsidRPr="00C85059">
        <w:t>R$</w:t>
      </w:r>
      <w:r w:rsidR="00C85059">
        <w:t xml:space="preserve"> 9.720.000,00</w:t>
      </w:r>
      <w:r w:rsidR="0024541E" w:rsidRPr="0024541E">
        <w:t xml:space="preserve"> </w:t>
      </w:r>
    </w:p>
    <w:p w:rsidR="00C17E28" w:rsidRPr="008B505A" w:rsidRDefault="00500E7C" w:rsidP="00D14244">
      <w:pPr>
        <w:pStyle w:val="ListadaApresentao"/>
      </w:pPr>
      <w:r w:rsidRPr="0049711B">
        <w:rPr>
          <w:b/>
        </w:rPr>
        <w:t>Condições de Pagament</w:t>
      </w:r>
      <w:r w:rsidRPr="008B505A">
        <w:rPr>
          <w:b/>
        </w:rPr>
        <w:t>o</w:t>
      </w:r>
      <w:r w:rsidRPr="003171E8">
        <w:t xml:space="preserve">: </w:t>
      </w:r>
      <w:r w:rsidR="00E92BCE" w:rsidRPr="003171E8">
        <w:t>à vista</w:t>
      </w:r>
      <w:r w:rsidR="00FB7BD1" w:rsidRPr="003171E8">
        <w:t>, com prazo de 30 (trinta) dias</w:t>
      </w:r>
      <w:r w:rsidR="00073F59">
        <w:t xml:space="preserve"> corridos</w:t>
      </w:r>
      <w:r w:rsidRPr="003171E8">
        <w:t xml:space="preserve"> </w:t>
      </w:r>
      <w:r w:rsidR="00FB7BD1" w:rsidRPr="003171E8">
        <w:t xml:space="preserve">após </w:t>
      </w:r>
      <w:r w:rsidR="00183D26" w:rsidRPr="003171E8">
        <w:t xml:space="preserve">o recebimento </w:t>
      </w:r>
      <w:r w:rsidR="00FB7BD1" w:rsidRPr="003171E8">
        <w:t>da</w:t>
      </w:r>
      <w:r w:rsidR="00FB7BD1" w:rsidRPr="0049711B">
        <w:rPr>
          <w:color w:val="000000"/>
          <w:szCs w:val="24"/>
        </w:rPr>
        <w:t xml:space="preserve"> </w:t>
      </w:r>
      <w:r w:rsidR="001D00CC" w:rsidRPr="0049711B">
        <w:rPr>
          <w:color w:val="000000"/>
          <w:szCs w:val="24"/>
        </w:rPr>
        <w:t>fatura</w:t>
      </w:r>
      <w:r w:rsidR="00FB7BD1" w:rsidRPr="0049711B">
        <w:rPr>
          <w:color w:val="000000"/>
          <w:szCs w:val="24"/>
        </w:rPr>
        <w:t xml:space="preserve"> da execução dos serviço</w:t>
      </w:r>
      <w:r w:rsidR="00FB7BD1" w:rsidRPr="003171E8">
        <w:rPr>
          <w:color w:val="000000"/>
          <w:szCs w:val="24"/>
        </w:rPr>
        <w:t>s</w:t>
      </w:r>
      <w:r w:rsidRPr="003171E8">
        <w:t>.</w:t>
      </w:r>
    </w:p>
    <w:p w:rsidR="006819CC" w:rsidRDefault="006819CC" w:rsidP="00211AA7">
      <w:pPr>
        <w:pStyle w:val="ListadaApresentao"/>
        <w:spacing w:before="0" w:line="240" w:lineRule="auto"/>
      </w:pPr>
      <w:r w:rsidRPr="006819CC">
        <w:rPr>
          <w:b/>
        </w:rPr>
        <w:t>Anexos do Termo de Referência</w:t>
      </w:r>
      <w:r>
        <w:t>:</w:t>
      </w:r>
    </w:p>
    <w:p w:rsidR="00525223" w:rsidRDefault="006524D0" w:rsidP="00211AA7">
      <w:pPr>
        <w:pStyle w:val="ListadaApresentao"/>
        <w:numPr>
          <w:ilvl w:val="1"/>
          <w:numId w:val="1"/>
        </w:numPr>
        <w:spacing w:before="0" w:line="240" w:lineRule="auto"/>
      </w:pPr>
      <w:r w:rsidRPr="009C57B4">
        <w:t>Anexo A: Relação de</w:t>
      </w:r>
      <w:r w:rsidR="00E23EFF">
        <w:t xml:space="preserve"> Órgãos</w:t>
      </w:r>
      <w:r w:rsidRPr="009C57B4">
        <w:t xml:space="preserve"> Participantes (</w:t>
      </w:r>
      <w:r w:rsidRPr="00FE5095">
        <w:t>PLS n°</w:t>
      </w:r>
      <w:r w:rsidR="00FE5095">
        <w:t xml:space="preserve"> 0325/2019</w:t>
      </w:r>
      <w:r w:rsidR="009B312F">
        <w:t>)</w:t>
      </w:r>
    </w:p>
    <w:p w:rsidR="00B8732C" w:rsidRDefault="00BC16CA" w:rsidP="00211AA7">
      <w:pPr>
        <w:pStyle w:val="ListadaApresentao"/>
        <w:numPr>
          <w:ilvl w:val="1"/>
          <w:numId w:val="1"/>
        </w:numPr>
        <w:spacing w:before="0" w:line="240" w:lineRule="auto"/>
      </w:pPr>
      <w:r>
        <w:t>Anexo B: Acordo de Níveis de Serviço - ANS</w:t>
      </w:r>
    </w:p>
    <w:p w:rsidR="00B8732C" w:rsidRDefault="00B8732C">
      <w:pPr>
        <w:spacing w:before="0" w:after="0" w:line="240" w:lineRule="auto"/>
        <w:jc w:val="left"/>
      </w:pPr>
      <w:r>
        <w:br w:type="page"/>
      </w:r>
    </w:p>
    <w:p w:rsidR="006945C3" w:rsidRDefault="00037D79" w:rsidP="00AA4E9C">
      <w:pPr>
        <w:pStyle w:val="Ttulo1"/>
        <w:ind w:left="426" w:hanging="284"/>
      </w:pPr>
      <w:r>
        <w:lastRenderedPageBreak/>
        <w:t>OBJETIVO</w:t>
      </w:r>
    </w:p>
    <w:p w:rsidR="003A22D0" w:rsidRDefault="00762752" w:rsidP="00B85B34">
      <w:pPr>
        <w:pStyle w:val="NumeraoNormal1"/>
      </w:pPr>
      <w:r>
        <w:t xml:space="preserve"> </w:t>
      </w:r>
      <w:r w:rsidR="00B85B34" w:rsidRPr="00B10086">
        <w:t xml:space="preserve">O objetivo deste Termo de Referência é estabelecer as condições para </w:t>
      </w:r>
      <w:r w:rsidR="008C12F8" w:rsidRPr="00B10086">
        <w:t xml:space="preserve">prestação de </w:t>
      </w:r>
      <w:r w:rsidR="0007154B" w:rsidRPr="0013174E">
        <w:rPr>
          <w:szCs w:val="24"/>
        </w:rPr>
        <w:t xml:space="preserve">serviços de </w:t>
      </w:r>
      <w:r w:rsidR="0007154B" w:rsidRPr="0013174E">
        <w:rPr>
          <w:color w:val="000000" w:themeColor="text1"/>
          <w:lang w:eastAsia="pt-BR"/>
        </w:rPr>
        <w:t xml:space="preserve">intermediação e gerenciamento de </w:t>
      </w:r>
      <w:r w:rsidR="008C13A6">
        <w:rPr>
          <w:color w:val="000000" w:themeColor="text1"/>
          <w:lang w:eastAsia="pt-BR"/>
        </w:rPr>
        <w:t>transporte remunerado privado individual</w:t>
      </w:r>
      <w:r w:rsidR="00073F59">
        <w:t>, a fim de</w:t>
      </w:r>
      <w:r w:rsidR="00035F67" w:rsidRPr="00035F67">
        <w:t xml:space="preserve"> atender as necessidades </w:t>
      </w:r>
      <w:r w:rsidR="00414E85">
        <w:t>dos ÓRGÃOS PARTICIPANTES</w:t>
      </w:r>
      <w:r w:rsidR="003A22D0" w:rsidRPr="00B10086">
        <w:t>, de acordo com as condições e especificações consta</w:t>
      </w:r>
      <w:r w:rsidR="0013174E">
        <w:t>ntes neste Termo de Referência,</w:t>
      </w:r>
      <w:r w:rsidR="003A22D0" w:rsidRPr="00B10086">
        <w:t xml:space="preserve"> no Edital</w:t>
      </w:r>
      <w:r w:rsidR="00B8732C">
        <w:t xml:space="preserve"> </w:t>
      </w:r>
      <w:r w:rsidR="0013174E">
        <w:t xml:space="preserve">e no que rege a Lei n° </w:t>
      </w:r>
      <w:r w:rsidR="00AC0BFB">
        <w:t>10.520</w:t>
      </w:r>
      <w:r w:rsidR="0013174E">
        <w:t>/</w:t>
      </w:r>
      <w:r w:rsidR="00AC0BFB">
        <w:t>2002</w:t>
      </w:r>
      <w:r w:rsidR="0013174E">
        <w:t>.</w:t>
      </w:r>
    </w:p>
    <w:p w:rsidR="00B85B34" w:rsidRDefault="00EE004D" w:rsidP="00B85B34">
      <w:pPr>
        <w:pStyle w:val="NumeraoNormal1"/>
      </w:pPr>
      <w:r>
        <w:t xml:space="preserve"> A Secretaria de Estado d</w:t>
      </w:r>
      <w:r w:rsidR="006C00B0">
        <w:t>a</w:t>
      </w:r>
      <w:r>
        <w:t xml:space="preserve"> </w:t>
      </w:r>
      <w:r w:rsidR="00D609C0">
        <w:t>Casa Civil e Governança - SECCG</w:t>
      </w:r>
      <w:r w:rsidR="003A22D0">
        <w:t xml:space="preserve"> será</w:t>
      </w:r>
      <w:r>
        <w:t xml:space="preserve"> o Órgão Gerenciador deste registro de preços.</w:t>
      </w:r>
    </w:p>
    <w:p w:rsidR="004B685F" w:rsidRPr="00E02834" w:rsidRDefault="00E2042C" w:rsidP="00B85B34">
      <w:pPr>
        <w:pStyle w:val="NumeraoNormal1"/>
      </w:pPr>
      <w:r>
        <w:t xml:space="preserve"> </w:t>
      </w:r>
      <w:r w:rsidR="00E02834" w:rsidRPr="00E02834">
        <w:t>O prazo da Ata de Registro de Preços será de 12 (doze) meses, improrrogável</w:t>
      </w:r>
      <w:r w:rsidR="003F5415">
        <w:t>.</w:t>
      </w:r>
    </w:p>
    <w:p w:rsidR="00EC4304" w:rsidRPr="002F6342" w:rsidRDefault="00E2042C" w:rsidP="00B85B34">
      <w:pPr>
        <w:pStyle w:val="NumeraoNormal1"/>
      </w:pPr>
      <w:r>
        <w:t xml:space="preserve"> Cada ÓRGÃO PARTICIPANTE ou ÓRGÃO ADERENTE firmará contrato administrativo com o FORNECEDOR</w:t>
      </w:r>
      <w:r w:rsidR="00601367">
        <w:t>, dentro do prazo de vigência da Ata de Registro de Preços,</w:t>
      </w:r>
      <w:r>
        <w:t xml:space="preserve"> onde serão estabelecidas as condições </w:t>
      </w:r>
      <w:r w:rsidRPr="002F6342">
        <w:t>contratuais da prestação de serviço, em linha com o previsto neste Termo de Referência.</w:t>
      </w:r>
    </w:p>
    <w:p w:rsidR="00E2042C" w:rsidRPr="002F6342" w:rsidRDefault="00E2042C" w:rsidP="000262DE">
      <w:pPr>
        <w:pStyle w:val="NumeraodeSegundoNvel"/>
        <w:ind w:left="1418"/>
      </w:pPr>
      <w:r w:rsidRPr="002F6342">
        <w:t>O</w:t>
      </w:r>
      <w:r w:rsidR="00A04801" w:rsidRPr="002F6342">
        <w:t>s</w:t>
      </w:r>
      <w:r w:rsidRPr="002F6342">
        <w:t xml:space="preserve"> prazo</w:t>
      </w:r>
      <w:r w:rsidR="00A04801" w:rsidRPr="002F6342">
        <w:t>s dos contratos serão</w:t>
      </w:r>
      <w:r w:rsidRPr="002F6342">
        <w:t xml:space="preserve"> de </w:t>
      </w:r>
      <w:r w:rsidR="00543B63">
        <w:t>12</w:t>
      </w:r>
      <w:r w:rsidRPr="002F6342">
        <w:t xml:space="preserve"> (</w:t>
      </w:r>
      <w:r w:rsidR="00543B63">
        <w:t>doze</w:t>
      </w:r>
      <w:r w:rsidRPr="002F6342">
        <w:t xml:space="preserve">) meses, </w:t>
      </w:r>
      <w:r w:rsidR="00AB58C4">
        <w:t>im</w:t>
      </w:r>
      <w:r w:rsidRPr="002F6342">
        <w:t>prorrogáve</w:t>
      </w:r>
      <w:r w:rsidR="00A04801" w:rsidRPr="002F6342">
        <w:t>is</w:t>
      </w:r>
      <w:r w:rsidRPr="002F6342">
        <w:t>.</w:t>
      </w:r>
    </w:p>
    <w:p w:rsidR="00B85B34" w:rsidRPr="00E02834" w:rsidRDefault="00762752" w:rsidP="00B85B34">
      <w:pPr>
        <w:pStyle w:val="NumeraoNormal1"/>
      </w:pPr>
      <w:r w:rsidRPr="00E02834">
        <w:t xml:space="preserve"> </w:t>
      </w:r>
      <w:r w:rsidR="00B85B34" w:rsidRPr="00E02834">
        <w:t xml:space="preserve">Serão considerados participantes do registro de preços os Órgãos e Entidades constantes da relação do </w:t>
      </w:r>
      <w:r w:rsidR="00350ADD">
        <w:t xml:space="preserve">Anexo </w:t>
      </w:r>
      <w:r w:rsidR="00B85B34" w:rsidRPr="00E02834">
        <w:t>A – Relação de</w:t>
      </w:r>
      <w:r w:rsidR="00414E85">
        <w:t xml:space="preserve"> Órgãos</w:t>
      </w:r>
      <w:r w:rsidR="00B85B34" w:rsidRPr="00E02834">
        <w:t xml:space="preserve"> Participantes.</w:t>
      </w:r>
    </w:p>
    <w:p w:rsidR="00623E13" w:rsidRPr="00A04801" w:rsidRDefault="00114BDD" w:rsidP="00114BDD">
      <w:pPr>
        <w:pStyle w:val="NumeraoNormal1"/>
      </w:pPr>
      <w:r w:rsidRPr="00E02834">
        <w:t xml:space="preserve"> </w:t>
      </w:r>
      <w:r w:rsidR="001D192E" w:rsidRPr="00A04801">
        <w:t>A presente licitação será r</w:t>
      </w:r>
      <w:r w:rsidR="00B63736" w:rsidRPr="00A04801">
        <w:t xml:space="preserve">egida pelo tipo </w:t>
      </w:r>
      <w:r w:rsidR="00D609C0">
        <w:t>Menor Preço</w:t>
      </w:r>
      <w:r w:rsidR="008D0DAD">
        <w:t xml:space="preserve"> por Item</w:t>
      </w:r>
      <w:r w:rsidR="00A04801" w:rsidRPr="00A04801">
        <w:t>.</w:t>
      </w:r>
    </w:p>
    <w:p w:rsidR="002F47EA" w:rsidRPr="000F5F52" w:rsidRDefault="004A3FD3" w:rsidP="00114BDD">
      <w:pPr>
        <w:pStyle w:val="NumeraoNormal1"/>
      </w:pPr>
      <w:r>
        <w:t xml:space="preserve"> </w:t>
      </w:r>
      <w:r w:rsidR="002F47EA" w:rsidRPr="000F5F52">
        <w:t>O Regime de Execução será Indireto, do tipo Empreitada por Preço Unitário, para que se tenha conformidade com este registro de preços, no qual o consumo do serviço se dará de forma parcelada e eventual</w:t>
      </w:r>
      <w:r w:rsidR="006166A9">
        <w:t>.</w:t>
      </w:r>
    </w:p>
    <w:p w:rsidR="00496EA6" w:rsidRDefault="004A3FD3" w:rsidP="00B85B34">
      <w:pPr>
        <w:pStyle w:val="NumeraoNormal1"/>
      </w:pPr>
      <w:r>
        <w:t xml:space="preserve"> </w:t>
      </w:r>
      <w:r w:rsidR="00FD317D">
        <w:t xml:space="preserve">As dotações orçamentárias e financeiras são de responsabilidade </w:t>
      </w:r>
      <w:r w:rsidR="00414E85">
        <w:t>de cada ÓRGÃO PARTICIPANTE ou ÓRGÃO ADERENTE</w:t>
      </w:r>
      <w:r w:rsidR="00AE3F36" w:rsidRPr="00AE3F36">
        <w:t>.</w:t>
      </w:r>
    </w:p>
    <w:p w:rsidR="00A377E7" w:rsidRDefault="00A377E7" w:rsidP="00AA4E9C">
      <w:pPr>
        <w:pStyle w:val="Ttulo1"/>
        <w:ind w:left="426" w:hanging="284"/>
      </w:pPr>
      <w:r>
        <w:t>JUSTIFICATIVA</w:t>
      </w:r>
    </w:p>
    <w:p w:rsidR="00543B63" w:rsidRPr="00543B63" w:rsidRDefault="00543B63" w:rsidP="00C809A8">
      <w:pPr>
        <w:pStyle w:val="NumeraoNormal1"/>
        <w:ind w:left="709" w:hanging="283"/>
      </w:pPr>
      <w:r w:rsidRPr="00543B63">
        <w:rPr>
          <w:szCs w:val="24"/>
        </w:rPr>
        <w:t>Após avaliação realizada pela Subsecretaria de Logística, com base em estatísticas das compras públicas estaduais, informações sobre o mercado e</w:t>
      </w:r>
      <w:r>
        <w:rPr>
          <w:szCs w:val="24"/>
        </w:rPr>
        <w:t xml:space="preserve"> </w:t>
      </w:r>
      <w:r w:rsidR="00C757D1">
        <w:rPr>
          <w:szCs w:val="24"/>
        </w:rPr>
        <w:t xml:space="preserve">em linha </w:t>
      </w:r>
      <w:r w:rsidR="00224301">
        <w:rPr>
          <w:szCs w:val="24"/>
        </w:rPr>
        <w:t xml:space="preserve">com o previsto no </w:t>
      </w:r>
      <w:r w:rsidR="00224301" w:rsidRPr="00224301">
        <w:rPr>
          <w:szCs w:val="24"/>
        </w:rPr>
        <w:t>Plano de Iniciativas Prioritárias para os primeiros 100 dias de governo</w:t>
      </w:r>
      <w:r w:rsidR="00224301">
        <w:rPr>
          <w:szCs w:val="24"/>
        </w:rPr>
        <w:t xml:space="preserve"> de 2019, identificou-se que </w:t>
      </w:r>
      <w:r w:rsidR="00224301" w:rsidRPr="00224301">
        <w:rPr>
          <w:szCs w:val="24"/>
        </w:rPr>
        <w:t>a demanda por serviços de transporte de passageiros constitui uma necessidade em comum dos Órgãos e Entidades da Administração Pública do Estado do Rio de Janeiro.</w:t>
      </w:r>
      <w:r w:rsidR="00224301">
        <w:rPr>
          <w:szCs w:val="24"/>
        </w:rPr>
        <w:t xml:space="preserve">  </w:t>
      </w:r>
    </w:p>
    <w:p w:rsidR="00CE11CB" w:rsidRPr="00CE11CB" w:rsidRDefault="006750BE" w:rsidP="00A377E7">
      <w:pPr>
        <w:pStyle w:val="NumeraoNormal1"/>
        <w:ind w:left="851" w:hanging="425"/>
      </w:pPr>
      <w:r w:rsidRPr="00CE11CB">
        <w:rPr>
          <w:color w:val="000000" w:themeColor="text1"/>
          <w:lang w:eastAsia="pt-BR"/>
        </w:rPr>
        <w:t>Para atender a essa necessidade em comum e para proporcionar maior racionalidade e padronização às compras públicas, a SE</w:t>
      </w:r>
      <w:r w:rsidR="00D609C0" w:rsidRPr="00CE11CB">
        <w:rPr>
          <w:color w:val="000000" w:themeColor="text1"/>
          <w:lang w:eastAsia="pt-BR"/>
        </w:rPr>
        <w:t>CCG</w:t>
      </w:r>
      <w:r w:rsidRPr="00CE11CB">
        <w:rPr>
          <w:color w:val="000000" w:themeColor="text1"/>
          <w:lang w:eastAsia="pt-BR"/>
        </w:rPr>
        <w:t xml:space="preserve"> decidiu centralizar </w:t>
      </w:r>
      <w:r w:rsidR="00DE077E" w:rsidRPr="00CE11CB">
        <w:rPr>
          <w:color w:val="000000" w:themeColor="text1"/>
          <w:lang w:eastAsia="pt-BR"/>
        </w:rPr>
        <w:t xml:space="preserve">a licitação para </w:t>
      </w:r>
      <w:r w:rsidR="00DE077E" w:rsidRPr="00CE11CB">
        <w:rPr>
          <w:color w:val="000000" w:themeColor="text1"/>
          <w:lang w:eastAsia="pt-BR"/>
        </w:rPr>
        <w:lastRenderedPageBreak/>
        <w:t>contratação do serviço,</w:t>
      </w:r>
      <w:r w:rsidR="00775F47" w:rsidRPr="00CE11CB">
        <w:rPr>
          <w:color w:val="000000" w:themeColor="text1"/>
          <w:lang w:eastAsia="pt-BR"/>
        </w:rPr>
        <w:t xml:space="preserve"> </w:t>
      </w:r>
      <w:r w:rsidR="00A75D7B" w:rsidRPr="00CE11CB">
        <w:rPr>
          <w:color w:val="000000" w:themeColor="text1"/>
          <w:lang w:eastAsia="pt-BR"/>
        </w:rPr>
        <w:t>utilizando como instrumento o Sistema de Registro de Preços por se tratar de demandas futuras, frequentes, parceladas e incertas</w:t>
      </w:r>
      <w:r w:rsidR="00253765" w:rsidRPr="00CE11CB">
        <w:rPr>
          <w:color w:val="000000" w:themeColor="text1"/>
          <w:lang w:eastAsia="pt-BR"/>
        </w:rPr>
        <w:t>.</w:t>
      </w:r>
    </w:p>
    <w:p w:rsidR="00CE11CB" w:rsidRDefault="00AE3F36" w:rsidP="00440DFE">
      <w:pPr>
        <w:pStyle w:val="NumeraoNormal1"/>
        <w:ind w:left="851" w:hanging="425"/>
      </w:pPr>
      <w:r>
        <w:t xml:space="preserve"> </w:t>
      </w:r>
      <w:r w:rsidR="00D80AF4" w:rsidRPr="00B10086">
        <w:t xml:space="preserve">Os itens a serem </w:t>
      </w:r>
      <w:r w:rsidR="00DE077E" w:rsidRPr="00B10086">
        <w:t>contratados</w:t>
      </w:r>
      <w:r w:rsidR="00D80AF4" w:rsidRPr="00B10086">
        <w:t xml:space="preserve"> enquadram-se na classificação de </w:t>
      </w:r>
      <w:r w:rsidR="00775F47" w:rsidRPr="00B10086">
        <w:t xml:space="preserve">serviços </w:t>
      </w:r>
      <w:r w:rsidR="00D80AF4" w:rsidRPr="00B10086">
        <w:t>comuns, nos termos do parágrafo único do art. 1° da Lei Federal n° 10.520/200</w:t>
      </w:r>
      <w:r w:rsidR="00300E4F" w:rsidRPr="00B10086">
        <w:t>2</w:t>
      </w:r>
      <w:r w:rsidR="00D80AF4" w:rsidRPr="00B10086">
        <w:t>, uma vez que possuem especificações e padrões usuais de mercado.</w:t>
      </w:r>
      <w:r w:rsidR="00CE11CB">
        <w:t xml:space="preserve"> </w:t>
      </w:r>
    </w:p>
    <w:p w:rsidR="000405B7" w:rsidRDefault="000405B7" w:rsidP="00440DFE">
      <w:pPr>
        <w:pStyle w:val="NumeraoNormal1"/>
        <w:ind w:left="851" w:hanging="425"/>
      </w:pPr>
      <w:r w:rsidRPr="000405B7">
        <w:t xml:space="preserve">A avaliação de mercado buscou as opções disponíveis para atender as necessidades de </w:t>
      </w:r>
      <w:r w:rsidR="00D609C0">
        <w:t>prestação de serviços de transporte</w:t>
      </w:r>
      <w:r w:rsidR="00EF1EC7">
        <w:t xml:space="preserve"> </w:t>
      </w:r>
      <w:r w:rsidR="00D609C0">
        <w:t xml:space="preserve">para </w:t>
      </w:r>
      <w:r w:rsidR="00EF1EC7">
        <w:t>o governo estadual</w:t>
      </w:r>
      <w:r w:rsidR="00440DFE">
        <w:t>.</w:t>
      </w:r>
    </w:p>
    <w:p w:rsidR="00CD1A5D" w:rsidRDefault="00CD1A5D" w:rsidP="002D5859">
      <w:pPr>
        <w:pStyle w:val="NumeraodeSegundoNvel"/>
        <w:ind w:left="1418"/>
      </w:pPr>
      <w:r w:rsidRPr="000405B7">
        <w:t xml:space="preserve">Em primeiro lugar, foi feita uma pesquisa de </w:t>
      </w:r>
      <w:r w:rsidRPr="00CD1A5D">
        <w:rPr>
          <w:i/>
        </w:rPr>
        <w:t>benchmarking</w:t>
      </w:r>
      <w:r w:rsidRPr="000405B7">
        <w:t xml:space="preserve"> junto a outros entes federativos para identificar as soluções que são costumeiramente contratadas. </w:t>
      </w:r>
    </w:p>
    <w:p w:rsidR="00CD1A5D" w:rsidRDefault="00CD1A5D" w:rsidP="002D5859">
      <w:pPr>
        <w:pStyle w:val="NumeraodeSegundoNvel"/>
        <w:ind w:left="1418"/>
      </w:pPr>
      <w:r w:rsidRPr="000405B7">
        <w:t xml:space="preserve">Depois, foi feita uma pesquisa </w:t>
      </w:r>
      <w:r>
        <w:t xml:space="preserve">documental </w:t>
      </w:r>
      <w:r w:rsidRPr="000405B7">
        <w:t xml:space="preserve">na internet sobre o panorama desse mercado. </w:t>
      </w:r>
    </w:p>
    <w:p w:rsidR="00CD1A5D" w:rsidRDefault="00CD1A5D" w:rsidP="002D5859">
      <w:pPr>
        <w:pStyle w:val="NumeraodeSegundoNvel"/>
        <w:ind w:left="1418"/>
      </w:pPr>
      <w:r w:rsidRPr="000405B7">
        <w:t xml:space="preserve">Por fim, </w:t>
      </w:r>
      <w:r w:rsidRPr="005063EE">
        <w:rPr>
          <w:color w:val="000000" w:themeColor="text1"/>
        </w:rPr>
        <w:t>foi realizada a Audiência Pública n°</w:t>
      </w:r>
      <w:r w:rsidR="005063EE">
        <w:rPr>
          <w:color w:val="000000" w:themeColor="text1"/>
        </w:rPr>
        <w:t xml:space="preserve"> </w:t>
      </w:r>
      <w:r w:rsidR="00760B94">
        <w:rPr>
          <w:color w:val="000000" w:themeColor="text1"/>
        </w:rPr>
        <w:t>01/2019</w:t>
      </w:r>
      <w:r w:rsidR="00543B63">
        <w:rPr>
          <w:color w:val="000000" w:themeColor="text1"/>
        </w:rPr>
        <w:t>, em 02/04/2019,</w:t>
      </w:r>
      <w:r w:rsidRPr="005063EE">
        <w:t xml:space="preserve"> com intuito de verificar a capacidade do mercado de atender o modelo estudado.</w:t>
      </w:r>
    </w:p>
    <w:p w:rsidR="00CE11CB" w:rsidRDefault="00CD1A5D" w:rsidP="00EF1EC7">
      <w:pPr>
        <w:pStyle w:val="NumeraoNormal1"/>
        <w:ind w:left="851"/>
      </w:pPr>
      <w:r>
        <w:t xml:space="preserve"> </w:t>
      </w:r>
      <w:r w:rsidRPr="00CD1A5D">
        <w:t xml:space="preserve">A decisão na escolha por este modelo de contratação considera as vantagens decorrentes da melhoria da gestão das despesas </w:t>
      </w:r>
      <w:r w:rsidR="00C757D1">
        <w:t>de transportes ao proporcionar melhor equilíbrio entre os custos fixos e variáveis das soluções disponibilizadas aos ÓRGÃOS PARTICIPANTES</w:t>
      </w:r>
      <w:r w:rsidR="00925DDE">
        <w:t xml:space="preserve"> e a melhoria do controle de utilização das soluções de transporte via relatórios customizados e detalhados</w:t>
      </w:r>
      <w:r w:rsidRPr="00CD1A5D">
        <w:t xml:space="preserve">. </w:t>
      </w:r>
      <w:r w:rsidR="0017749C">
        <w:t xml:space="preserve"> </w:t>
      </w:r>
    </w:p>
    <w:p w:rsidR="001F36EA" w:rsidRPr="008E5CFF" w:rsidRDefault="00CE11CB" w:rsidP="00EF1EC7">
      <w:pPr>
        <w:pStyle w:val="NumeraoNormal1"/>
        <w:ind w:left="851"/>
      </w:pPr>
      <w:r>
        <w:t xml:space="preserve"> </w:t>
      </w:r>
      <w:r w:rsidR="001F36EA" w:rsidRPr="000405B7">
        <w:t>O modelo se aproxima das soluções mais usadas entre diversos órgãos públicos</w:t>
      </w:r>
      <w:r w:rsidR="00760B94">
        <w:t>,</w:t>
      </w:r>
      <w:r w:rsidR="00CD1A5D" w:rsidRPr="000405B7">
        <w:t xml:space="preserve"> empresas privadas</w:t>
      </w:r>
      <w:r w:rsidR="00760B94">
        <w:t xml:space="preserve"> e cidadãos</w:t>
      </w:r>
      <w:r w:rsidR="001F36EA" w:rsidRPr="000405B7">
        <w:t xml:space="preserve"> contando com um mercado fornecedor amplo e competitivo</w:t>
      </w:r>
      <w:r w:rsidR="00134C22">
        <w:t xml:space="preserve">, encaixando-se no conceito de </w:t>
      </w:r>
      <w:r w:rsidR="00134C22" w:rsidRPr="00134C22">
        <w:t>serviços de transporte remunerado privado individual</w:t>
      </w:r>
      <w:r w:rsidR="00134C22">
        <w:t xml:space="preserve"> incluído na </w:t>
      </w:r>
      <w:r w:rsidR="00134C22" w:rsidRPr="00134C22">
        <w:t>Política Nacional de Mobilidade Urbana (Lei nº 12.587/2012), que os define como: “serviço remunerado de transporte de passageiros, não aberto ao público, para a realização de viagens individualizadas ou compartilhadas solicitadas exclusivamente por usuários previamente cadastrados em aplicativos ou outras plataformas de comunicação em rede.”</w:t>
      </w:r>
      <w:r w:rsidR="001F36EA" w:rsidRPr="000405B7">
        <w:t>.</w:t>
      </w:r>
    </w:p>
    <w:p w:rsidR="00FF0575" w:rsidRDefault="00FF0575" w:rsidP="00AA4E9C">
      <w:pPr>
        <w:pStyle w:val="Ttulo1"/>
        <w:ind w:left="426" w:hanging="284"/>
      </w:pPr>
      <w:r>
        <w:t>OBJETO</w:t>
      </w:r>
    </w:p>
    <w:p w:rsidR="004C6448" w:rsidRDefault="00EE004D" w:rsidP="005979A7">
      <w:pPr>
        <w:pStyle w:val="NumeraoNormal1"/>
        <w:numPr>
          <w:ilvl w:val="1"/>
          <w:numId w:val="14"/>
        </w:numPr>
      </w:pPr>
      <w:r>
        <w:t xml:space="preserve"> </w:t>
      </w:r>
      <w:r w:rsidR="00EF1C69">
        <w:t xml:space="preserve">O </w:t>
      </w:r>
      <w:r w:rsidR="00EF1C69" w:rsidRPr="00EF1C69">
        <w:t>objeto deste Termo de Referência é</w:t>
      </w:r>
      <w:r w:rsidR="00EF1C69">
        <w:t>:</w:t>
      </w:r>
      <w:r w:rsidR="00EF1C69" w:rsidRPr="00EF1C69">
        <w:t xml:space="preserve"> </w:t>
      </w:r>
      <w:r w:rsidR="001F36EA" w:rsidRPr="00705E37">
        <w:t xml:space="preserve">Registro de Preços </w:t>
      </w:r>
      <w:r w:rsidR="003333A6">
        <w:t>para contratação de</w:t>
      </w:r>
      <w:r w:rsidR="003333A6" w:rsidRPr="004C6448">
        <w:rPr>
          <w:color w:val="000000" w:themeColor="text1"/>
          <w:lang w:eastAsia="pt-BR"/>
        </w:rPr>
        <w:t xml:space="preserve"> </w:t>
      </w:r>
      <w:r w:rsidR="00604F67" w:rsidRPr="004C6448">
        <w:rPr>
          <w:szCs w:val="24"/>
        </w:rPr>
        <w:t xml:space="preserve">serviços de </w:t>
      </w:r>
      <w:r w:rsidR="00604F67" w:rsidRPr="004C6448">
        <w:rPr>
          <w:color w:val="000000" w:themeColor="text1"/>
          <w:lang w:eastAsia="pt-BR"/>
        </w:rPr>
        <w:t xml:space="preserve">intermediação e gerenciamento de </w:t>
      </w:r>
      <w:r w:rsidR="008C13A6">
        <w:rPr>
          <w:color w:val="000000" w:themeColor="text1"/>
          <w:lang w:eastAsia="pt-BR"/>
        </w:rPr>
        <w:t>transporte remunerado privado individual</w:t>
      </w:r>
      <w:r w:rsidR="003333A6" w:rsidRPr="004C6448">
        <w:rPr>
          <w:color w:val="000000" w:themeColor="text1"/>
          <w:lang w:eastAsia="pt-BR"/>
        </w:rPr>
        <w:t xml:space="preserve">, </w:t>
      </w:r>
      <w:r w:rsidR="00EB09DF" w:rsidRPr="00B53A33">
        <w:t xml:space="preserve">para atender as necessidades dos </w:t>
      </w:r>
      <w:r w:rsidR="004D6821">
        <w:t>ÓRGÃOS PARTICIPANTES</w:t>
      </w:r>
      <w:r w:rsidR="001F36EA">
        <w:t>.</w:t>
      </w:r>
    </w:p>
    <w:p w:rsidR="00232C66" w:rsidRPr="00AB58C4" w:rsidRDefault="00232C66" w:rsidP="00232C66">
      <w:pPr>
        <w:pStyle w:val="NumeraodeSegundoNvel"/>
        <w:numPr>
          <w:ilvl w:val="2"/>
          <w:numId w:val="14"/>
        </w:numPr>
      </w:pPr>
      <w:r w:rsidRPr="00AB58C4">
        <w:lastRenderedPageBreak/>
        <w:t>Os serviços a serem contratad</w:t>
      </w:r>
      <w:r w:rsidR="00475096">
        <w:t>os</w:t>
      </w:r>
      <w:r w:rsidR="008E3F9A">
        <w:t xml:space="preserve"> não são de natureza contínua</w:t>
      </w:r>
      <w:r w:rsidR="007F7EAB">
        <w:t xml:space="preserve">, </w:t>
      </w:r>
      <w:r w:rsidR="00475096">
        <w:t xml:space="preserve">uma vez que </w:t>
      </w:r>
      <w:proofErr w:type="gramStart"/>
      <w:r w:rsidR="00475096">
        <w:t>trata-se</w:t>
      </w:r>
      <w:proofErr w:type="gramEnd"/>
      <w:r w:rsidR="00475096">
        <w:t xml:space="preserve"> de iniciativa do governo para avaliar a redução de custos possibilitada pelo objeto com consequente redução de frota locada.</w:t>
      </w:r>
    </w:p>
    <w:p w:rsidR="004C6448" w:rsidRDefault="004D6821" w:rsidP="005979A7">
      <w:pPr>
        <w:pStyle w:val="NumeraoNormal1"/>
        <w:numPr>
          <w:ilvl w:val="1"/>
          <w:numId w:val="14"/>
        </w:numPr>
      </w:pPr>
      <w:r>
        <w:t xml:space="preserve"> </w:t>
      </w:r>
      <w:r w:rsidR="005979A7">
        <w:t>Especificações Técnicas: conforme descrições dos serviços que serão apresentadas abaixo e conforme o que será disposto no Quadro 1, Especificações e Quantitativos.</w:t>
      </w:r>
    </w:p>
    <w:p w:rsidR="00CE11CB" w:rsidRDefault="00205E39" w:rsidP="001F36EA">
      <w:pPr>
        <w:pStyle w:val="NumeraoNormal1"/>
        <w:numPr>
          <w:ilvl w:val="1"/>
          <w:numId w:val="14"/>
        </w:numPr>
      </w:pPr>
      <w:r>
        <w:t xml:space="preserve"> </w:t>
      </w:r>
      <w:r w:rsidR="00020582">
        <w:t xml:space="preserve">As </w:t>
      </w:r>
      <w:r w:rsidR="00020582" w:rsidRPr="00020582">
        <w:t>quantidades apresentadas nas colunas “Órgão Gerenciador</w:t>
      </w:r>
      <w:r w:rsidR="000C4A66">
        <w:t xml:space="preserve"> e </w:t>
      </w:r>
      <w:r w:rsidR="00020582" w:rsidRPr="00020582">
        <w:t xml:space="preserve">Órgãos Participantes” foram coletadas por meio do Plano de Suprimentos – </w:t>
      </w:r>
      <w:r w:rsidR="00840A05" w:rsidRPr="00FE5095">
        <w:t>PLS</w:t>
      </w:r>
      <w:r w:rsidR="00020582" w:rsidRPr="00FE5095">
        <w:t xml:space="preserve"> n°</w:t>
      </w:r>
      <w:r w:rsidR="00FE5095">
        <w:t xml:space="preserve"> 0325/2019</w:t>
      </w:r>
      <w:r w:rsidR="00020582" w:rsidRPr="00020582">
        <w:t>, e constituem demandas futuras e incertas, não havendo obrigação de consumo por parte dos Órgãos Participantes.</w:t>
      </w:r>
    </w:p>
    <w:p w:rsidR="00304BC9" w:rsidRDefault="00304BC9" w:rsidP="001F36EA">
      <w:pPr>
        <w:pStyle w:val="NumeraoNormal1"/>
        <w:numPr>
          <w:ilvl w:val="1"/>
          <w:numId w:val="14"/>
        </w:numPr>
      </w:pPr>
      <w:r>
        <w:t xml:space="preserve"> </w:t>
      </w:r>
      <w:r w:rsidR="00F16D86" w:rsidRPr="000E40F3">
        <w:t>As quantidades apresentadas na coluna “Órgãos Aderentes” foram calculadas com base nos limites legais estabelecidos pelo Decreto n° 44.857/2014 e representam o quantitativo máximo que poderá ser demandado por Órgãos Aderentes, respeitadas as regras do referido decreto.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701"/>
        <w:gridCol w:w="1842"/>
        <w:gridCol w:w="1843"/>
      </w:tblGrid>
      <w:tr w:rsidR="002D486F" w:rsidRPr="00386E75" w:rsidTr="002D486F">
        <w:tc>
          <w:tcPr>
            <w:tcW w:w="9889" w:type="dxa"/>
            <w:gridSpan w:val="6"/>
            <w:vAlign w:val="center"/>
          </w:tcPr>
          <w:p w:rsidR="002D486F" w:rsidRPr="003950CF" w:rsidRDefault="002D486F" w:rsidP="004E30B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Quadro 1 – Especificações</w:t>
            </w:r>
            <w:r w:rsidR="00A42010">
              <w:rPr>
                <w:sz w:val="22"/>
                <w:szCs w:val="24"/>
              </w:rPr>
              <w:t xml:space="preserve"> </w:t>
            </w:r>
            <w:r w:rsidR="00A42010" w:rsidRPr="00A42010">
              <w:rPr>
                <w:sz w:val="22"/>
              </w:rPr>
              <w:t>e Quantitativos</w:t>
            </w:r>
          </w:p>
        </w:tc>
      </w:tr>
      <w:tr w:rsidR="00405BD3" w:rsidRPr="00386E75" w:rsidTr="00405BD3">
        <w:tc>
          <w:tcPr>
            <w:tcW w:w="675" w:type="dxa"/>
            <w:vAlign w:val="center"/>
          </w:tcPr>
          <w:p w:rsidR="00405BD3" w:rsidRPr="002D486F" w:rsidRDefault="00405BD3" w:rsidP="002D486F">
            <w:pPr>
              <w:jc w:val="left"/>
              <w:rPr>
                <w:sz w:val="18"/>
                <w:szCs w:val="24"/>
              </w:rPr>
            </w:pPr>
            <w:r w:rsidRPr="002D486F">
              <w:rPr>
                <w:sz w:val="18"/>
                <w:szCs w:val="24"/>
              </w:rPr>
              <w:t>Item</w:t>
            </w:r>
          </w:p>
        </w:tc>
        <w:tc>
          <w:tcPr>
            <w:tcW w:w="2552" w:type="dxa"/>
            <w:vAlign w:val="center"/>
          </w:tcPr>
          <w:p w:rsidR="00405BD3" w:rsidRPr="002D486F" w:rsidRDefault="00405BD3" w:rsidP="0094365A">
            <w:pPr>
              <w:jc w:val="center"/>
              <w:rPr>
                <w:sz w:val="18"/>
                <w:szCs w:val="24"/>
              </w:rPr>
            </w:pPr>
            <w:r w:rsidRPr="002D486F">
              <w:rPr>
                <w:sz w:val="18"/>
                <w:szCs w:val="24"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405BD3" w:rsidRPr="002D486F" w:rsidRDefault="00405BD3" w:rsidP="00AC4FA3">
            <w:pPr>
              <w:tabs>
                <w:tab w:val="left" w:pos="705"/>
              </w:tabs>
              <w:spacing w:line="200" w:lineRule="atLeast"/>
              <w:ind w:right="-107"/>
              <w:jc w:val="center"/>
              <w:rPr>
                <w:b/>
                <w:bCs/>
                <w:sz w:val="18"/>
                <w:szCs w:val="24"/>
              </w:rPr>
            </w:pPr>
            <w:r w:rsidRPr="00A20B81">
              <w:rPr>
                <w:b/>
                <w:sz w:val="20"/>
                <w:szCs w:val="20"/>
              </w:rPr>
              <w:t>Unidade de consumo</w:t>
            </w:r>
          </w:p>
        </w:tc>
        <w:tc>
          <w:tcPr>
            <w:tcW w:w="1701" w:type="dxa"/>
            <w:vAlign w:val="center"/>
          </w:tcPr>
          <w:p w:rsidR="00405BD3" w:rsidRPr="002D486F" w:rsidRDefault="00405BD3" w:rsidP="00405BD3">
            <w:pPr>
              <w:jc w:val="left"/>
              <w:rPr>
                <w:b/>
                <w:sz w:val="18"/>
                <w:szCs w:val="24"/>
              </w:rPr>
            </w:pPr>
            <w:r w:rsidRPr="002D486F">
              <w:rPr>
                <w:b/>
                <w:sz w:val="18"/>
                <w:szCs w:val="24"/>
              </w:rPr>
              <w:t xml:space="preserve">Valor Financeiro (R$) Estimado </w:t>
            </w:r>
            <w:r>
              <w:rPr>
                <w:b/>
                <w:sz w:val="18"/>
                <w:szCs w:val="24"/>
              </w:rPr>
              <w:t>– por Quilômetro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05BD3" w:rsidRPr="002D486F" w:rsidRDefault="00405BD3" w:rsidP="00D119E0">
            <w:pPr>
              <w:jc w:val="left"/>
              <w:rPr>
                <w:b/>
                <w:sz w:val="18"/>
                <w:szCs w:val="24"/>
              </w:rPr>
            </w:pPr>
            <w:r w:rsidRPr="004E30BD">
              <w:rPr>
                <w:b/>
                <w:bCs/>
                <w:sz w:val="18"/>
                <w:szCs w:val="24"/>
              </w:rPr>
              <w:t>Estimativa</w:t>
            </w:r>
            <w:r>
              <w:rPr>
                <w:b/>
                <w:bCs/>
                <w:sz w:val="18"/>
                <w:szCs w:val="24"/>
              </w:rPr>
              <w:t xml:space="preserve"> mensal de km</w:t>
            </w:r>
            <w:r w:rsidR="00D119E0">
              <w:rPr>
                <w:b/>
                <w:bCs/>
                <w:sz w:val="18"/>
                <w:szCs w:val="24"/>
              </w:rPr>
              <w:t xml:space="preserve"> rodados</w:t>
            </w:r>
            <w:r>
              <w:rPr>
                <w:b/>
                <w:bCs/>
                <w:sz w:val="18"/>
                <w:szCs w:val="24"/>
              </w:rPr>
              <w:t xml:space="preserve"> - Órgão Gerenciador e </w:t>
            </w:r>
            <w:r w:rsidRPr="004E30BD">
              <w:rPr>
                <w:b/>
                <w:bCs/>
                <w:sz w:val="18"/>
                <w:szCs w:val="24"/>
              </w:rPr>
              <w:t>Órgãos</w:t>
            </w:r>
            <w:r>
              <w:rPr>
                <w:b/>
                <w:bCs/>
                <w:sz w:val="18"/>
                <w:szCs w:val="24"/>
              </w:rPr>
              <w:t xml:space="preserve"> </w:t>
            </w:r>
            <w:r w:rsidRPr="004E30BD">
              <w:rPr>
                <w:b/>
                <w:bCs/>
                <w:sz w:val="18"/>
                <w:szCs w:val="24"/>
              </w:rPr>
              <w:t>Participantes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5BD3" w:rsidRPr="002D486F" w:rsidRDefault="00405BD3" w:rsidP="00405BD3">
            <w:pPr>
              <w:jc w:val="left"/>
              <w:rPr>
                <w:b/>
                <w:sz w:val="18"/>
                <w:szCs w:val="24"/>
              </w:rPr>
            </w:pPr>
            <w:r w:rsidRPr="004E30BD">
              <w:rPr>
                <w:b/>
                <w:bCs/>
                <w:sz w:val="18"/>
                <w:szCs w:val="24"/>
              </w:rPr>
              <w:t>Estimativa</w:t>
            </w:r>
            <w:r>
              <w:rPr>
                <w:b/>
                <w:bCs/>
                <w:sz w:val="18"/>
                <w:szCs w:val="24"/>
              </w:rPr>
              <w:t xml:space="preserve"> mensal de km </w:t>
            </w:r>
            <w:r w:rsidRPr="004E30BD">
              <w:rPr>
                <w:b/>
                <w:bCs/>
                <w:sz w:val="18"/>
                <w:szCs w:val="24"/>
              </w:rPr>
              <w:t xml:space="preserve">rodados </w:t>
            </w:r>
            <w:r>
              <w:rPr>
                <w:b/>
                <w:bCs/>
                <w:sz w:val="18"/>
                <w:szCs w:val="24"/>
              </w:rPr>
              <w:t xml:space="preserve">- </w:t>
            </w:r>
            <w:r w:rsidRPr="004E30BD">
              <w:rPr>
                <w:b/>
                <w:bCs/>
                <w:sz w:val="18"/>
                <w:szCs w:val="24"/>
              </w:rPr>
              <w:t>Órgãos</w:t>
            </w:r>
            <w:r>
              <w:rPr>
                <w:b/>
                <w:bCs/>
                <w:sz w:val="18"/>
                <w:szCs w:val="24"/>
              </w:rPr>
              <w:t xml:space="preserve"> Aderentes</w:t>
            </w:r>
          </w:p>
        </w:tc>
      </w:tr>
      <w:tr w:rsidR="00405BD3" w:rsidRPr="00386E75" w:rsidTr="00405BD3">
        <w:tc>
          <w:tcPr>
            <w:tcW w:w="675" w:type="dxa"/>
            <w:vAlign w:val="center"/>
          </w:tcPr>
          <w:p w:rsidR="00405BD3" w:rsidRPr="002D486F" w:rsidRDefault="00405BD3" w:rsidP="0094365A">
            <w:pPr>
              <w:jc w:val="center"/>
              <w:rPr>
                <w:sz w:val="18"/>
                <w:szCs w:val="24"/>
              </w:rPr>
            </w:pPr>
            <w:r w:rsidRPr="002D486F">
              <w:rPr>
                <w:sz w:val="18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05BD3" w:rsidRDefault="00405BD3" w:rsidP="00C442BB">
            <w:pPr>
              <w:tabs>
                <w:tab w:val="left" w:pos="705"/>
              </w:tabs>
              <w:spacing w:before="0" w:after="0" w:line="200" w:lineRule="atLeast"/>
              <w:ind w:left="-29" w:right="-70"/>
              <w:rPr>
                <w:b/>
                <w:sz w:val="18"/>
                <w:szCs w:val="24"/>
              </w:rPr>
            </w:pPr>
          </w:p>
          <w:p w:rsidR="00405BD3" w:rsidRDefault="00F07F78" w:rsidP="008C13A6">
            <w:pPr>
              <w:tabs>
                <w:tab w:val="left" w:pos="705"/>
              </w:tabs>
              <w:spacing w:before="0" w:after="0" w:line="200" w:lineRule="atLeast"/>
              <w:ind w:left="-29" w:right="-70"/>
              <w:rPr>
                <w:sz w:val="20"/>
                <w:szCs w:val="24"/>
              </w:rPr>
            </w:pPr>
            <w:r w:rsidRPr="00F07F78">
              <w:rPr>
                <w:sz w:val="20"/>
                <w:szCs w:val="24"/>
              </w:rPr>
              <w:t>CONTRATACAO DE SERVICO DE TRANSPORTE INDIVIDUAL DE PASSAGEIROS SOB DEMANDA ATRAVES DE APLICATIVO WEB/MOBILE</w:t>
            </w:r>
          </w:p>
          <w:p w:rsidR="00F07F78" w:rsidRDefault="00F07F78" w:rsidP="008C13A6">
            <w:pPr>
              <w:tabs>
                <w:tab w:val="left" w:pos="705"/>
              </w:tabs>
              <w:spacing w:before="0" w:after="0" w:line="200" w:lineRule="atLeast"/>
              <w:ind w:left="-29" w:right="-70"/>
              <w:rPr>
                <w:sz w:val="20"/>
                <w:szCs w:val="24"/>
              </w:rPr>
            </w:pPr>
          </w:p>
          <w:p w:rsidR="00F07F78" w:rsidRPr="00F07F78" w:rsidRDefault="00F07F78" w:rsidP="008C13A6">
            <w:pPr>
              <w:tabs>
                <w:tab w:val="left" w:pos="705"/>
              </w:tabs>
              <w:spacing w:before="0" w:after="0" w:line="200" w:lineRule="atLeast"/>
              <w:ind w:left="-29" w:right="-70"/>
              <w:rPr>
                <w:b/>
                <w:sz w:val="20"/>
                <w:szCs w:val="24"/>
              </w:rPr>
            </w:pPr>
            <w:r w:rsidRPr="00F07F78">
              <w:rPr>
                <w:b/>
                <w:sz w:val="20"/>
                <w:szCs w:val="24"/>
              </w:rPr>
              <w:t>Código do Item: 0209.001.0004</w:t>
            </w:r>
          </w:p>
          <w:p w:rsidR="00F07F78" w:rsidRDefault="00F07F78" w:rsidP="008C13A6">
            <w:pPr>
              <w:tabs>
                <w:tab w:val="left" w:pos="705"/>
              </w:tabs>
              <w:spacing w:before="0" w:after="0" w:line="200" w:lineRule="atLeast"/>
              <w:ind w:left="-29" w:right="-70"/>
              <w:rPr>
                <w:bCs/>
                <w:color w:val="FF0000"/>
                <w:sz w:val="18"/>
                <w:szCs w:val="24"/>
              </w:rPr>
            </w:pPr>
          </w:p>
          <w:p w:rsidR="00F07F78" w:rsidRPr="00F07F78" w:rsidRDefault="00F07F78" w:rsidP="008C13A6">
            <w:pPr>
              <w:tabs>
                <w:tab w:val="left" w:pos="705"/>
              </w:tabs>
              <w:spacing w:before="0" w:after="0" w:line="200" w:lineRule="atLeast"/>
              <w:ind w:left="-29" w:right="-70"/>
              <w:rPr>
                <w:b/>
                <w:bCs/>
                <w:sz w:val="18"/>
                <w:szCs w:val="24"/>
              </w:rPr>
            </w:pPr>
            <w:r w:rsidRPr="00F07F78">
              <w:rPr>
                <w:b/>
                <w:bCs/>
                <w:sz w:val="18"/>
                <w:szCs w:val="24"/>
              </w:rPr>
              <w:t>Código ID: 156621</w:t>
            </w:r>
          </w:p>
        </w:tc>
        <w:tc>
          <w:tcPr>
            <w:tcW w:w="1276" w:type="dxa"/>
            <w:vAlign w:val="center"/>
          </w:tcPr>
          <w:p w:rsidR="00405BD3" w:rsidRPr="00C85059" w:rsidRDefault="004D6821" w:rsidP="0094365A">
            <w:pPr>
              <w:tabs>
                <w:tab w:val="left" w:pos="705"/>
              </w:tabs>
              <w:spacing w:line="200" w:lineRule="atLeast"/>
              <w:jc w:val="center"/>
              <w:rPr>
                <w:bCs/>
                <w:sz w:val="18"/>
                <w:szCs w:val="24"/>
                <w:highlight w:val="yellow"/>
              </w:rPr>
            </w:pPr>
            <w:r w:rsidRPr="00C85059">
              <w:rPr>
                <w:sz w:val="20"/>
                <w:szCs w:val="20"/>
              </w:rPr>
              <w:t>KM</w:t>
            </w:r>
            <w:r w:rsidR="00D119E0" w:rsidRPr="00C85059">
              <w:rPr>
                <w:sz w:val="20"/>
                <w:szCs w:val="20"/>
              </w:rPr>
              <w:t xml:space="preserve"> RODADO</w:t>
            </w:r>
          </w:p>
        </w:tc>
        <w:tc>
          <w:tcPr>
            <w:tcW w:w="1701" w:type="dxa"/>
            <w:vAlign w:val="center"/>
          </w:tcPr>
          <w:p w:rsidR="00405BD3" w:rsidRPr="00D06E36" w:rsidRDefault="00405BD3" w:rsidP="005A00DC">
            <w:pPr>
              <w:jc w:val="center"/>
              <w:rPr>
                <w:sz w:val="18"/>
                <w:szCs w:val="24"/>
              </w:rPr>
            </w:pPr>
            <w:r w:rsidRPr="00C85059">
              <w:rPr>
                <w:sz w:val="20"/>
                <w:szCs w:val="24"/>
              </w:rPr>
              <w:t xml:space="preserve">R$ </w:t>
            </w:r>
            <w:r w:rsidR="00C85059" w:rsidRPr="00C85059">
              <w:rPr>
                <w:sz w:val="20"/>
                <w:szCs w:val="24"/>
              </w:rPr>
              <w:t>2,70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05BD3" w:rsidRPr="00D06E36" w:rsidRDefault="00AF516D" w:rsidP="004D1895">
            <w:pPr>
              <w:jc w:val="center"/>
              <w:rPr>
                <w:sz w:val="18"/>
                <w:szCs w:val="24"/>
              </w:rPr>
            </w:pPr>
            <w:r w:rsidRPr="005A00DC">
              <w:rPr>
                <w:sz w:val="20"/>
                <w:szCs w:val="24"/>
              </w:rPr>
              <w:t>300</w:t>
            </w:r>
            <w:r w:rsidR="00B93644" w:rsidRPr="005A00DC">
              <w:rPr>
                <w:sz w:val="20"/>
                <w:szCs w:val="24"/>
              </w:rPr>
              <w:t>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5BD3" w:rsidRPr="005A00DC" w:rsidRDefault="00AF516D" w:rsidP="004D1895">
            <w:pPr>
              <w:jc w:val="center"/>
              <w:rPr>
                <w:sz w:val="20"/>
                <w:szCs w:val="24"/>
              </w:rPr>
            </w:pPr>
            <w:r w:rsidRPr="005A00DC">
              <w:rPr>
                <w:sz w:val="20"/>
                <w:szCs w:val="24"/>
              </w:rPr>
              <w:t>600.000</w:t>
            </w:r>
          </w:p>
        </w:tc>
      </w:tr>
    </w:tbl>
    <w:p w:rsidR="0094365A" w:rsidRPr="00EA5803" w:rsidRDefault="0094365A" w:rsidP="005E47E5">
      <w:pPr>
        <w:rPr>
          <w:sz w:val="20"/>
        </w:rPr>
      </w:pPr>
    </w:p>
    <w:p w:rsidR="00DE659B" w:rsidRDefault="00601367" w:rsidP="00993120">
      <w:pPr>
        <w:pStyle w:val="NumeraoNormal1"/>
        <w:ind w:left="709" w:hanging="425"/>
      </w:pPr>
      <w:r>
        <w:t>A estimativa de quilometragem</w:t>
      </w:r>
      <w:r w:rsidR="00DE659B">
        <w:t xml:space="preserve"> prevista para</w:t>
      </w:r>
      <w:r w:rsidR="00D119E0">
        <w:t xml:space="preserve"> a rodagem</w:t>
      </w:r>
      <w:r w:rsidR="00DE659B">
        <w:t xml:space="preserve"> </w:t>
      </w:r>
      <w:r w:rsidR="00D119E0">
        <w:t>d</w:t>
      </w:r>
      <w:r w:rsidR="00DE659B">
        <w:t>os órgãos participantes</w:t>
      </w:r>
      <w:r>
        <w:t>, para os 12 (doze) meses de cada contrato,</w:t>
      </w:r>
      <w:r w:rsidR="00DE659B">
        <w:t xml:space="preserve"> é de </w:t>
      </w:r>
      <w:r w:rsidR="00DE659B" w:rsidRPr="00DE659B">
        <w:rPr>
          <w:b/>
        </w:rPr>
        <w:t>3.600.000</w:t>
      </w:r>
      <w:r w:rsidR="00DE659B">
        <w:t xml:space="preserve"> quilômetros.</w:t>
      </w:r>
    </w:p>
    <w:p w:rsidR="00DF2C7A" w:rsidRPr="006448F7" w:rsidRDefault="00492D68" w:rsidP="00993120">
      <w:pPr>
        <w:pStyle w:val="NumeraoNormal1"/>
        <w:ind w:left="709" w:hanging="425"/>
      </w:pPr>
      <w:r w:rsidRPr="00A31197">
        <w:rPr>
          <w:b/>
        </w:rPr>
        <w:t xml:space="preserve">O Valor Financeiro Estimado Global é de </w:t>
      </w:r>
      <w:r w:rsidRPr="00C85059">
        <w:rPr>
          <w:b/>
        </w:rPr>
        <w:t>R$</w:t>
      </w:r>
      <w:r w:rsidR="00BF2836" w:rsidRPr="00C85059">
        <w:rPr>
          <w:b/>
        </w:rPr>
        <w:t xml:space="preserve"> </w:t>
      </w:r>
      <w:r w:rsidR="00C85059">
        <w:rPr>
          <w:b/>
        </w:rPr>
        <w:t>9.720.000,00</w:t>
      </w:r>
    </w:p>
    <w:p w:rsidR="006448F7" w:rsidRDefault="006448F7" w:rsidP="006448F7">
      <w:pPr>
        <w:pStyle w:val="NumeraodeSegundoNvel"/>
      </w:pPr>
      <w:r w:rsidRPr="0091765F">
        <w:lastRenderedPageBreak/>
        <w:t>Serão admitidas quaisquer formas de composição do preço, inclusive com bandeirada, tarifa horária, tarifa quilométrica, tarifa fixa por corrida e outros, desde que o valor total das corridas ao final de cada mês seja igual ou inferior ao valor mensal equivalente à cobrança de cada corrida pelo preço médio por quilômetro informado na Proposta de Preços.</w:t>
      </w:r>
    </w:p>
    <w:p w:rsidR="005C5EE9" w:rsidRDefault="00492D68" w:rsidP="00993120">
      <w:pPr>
        <w:pStyle w:val="NumeraoNormal1"/>
        <w:ind w:left="709" w:hanging="425"/>
      </w:pPr>
      <w:r>
        <w:t xml:space="preserve"> </w:t>
      </w:r>
      <w:r w:rsidR="005C5EE9">
        <w:t xml:space="preserve">A prestação de serviços prevista neste TR será efetuada de forma parcelada, à medida que surgirem as necessidades de contratação do órgão gerenciador e dos órgãos participantes.  </w:t>
      </w:r>
    </w:p>
    <w:p w:rsidR="005C5EE9" w:rsidRDefault="005C5EE9" w:rsidP="000262DE">
      <w:pPr>
        <w:pStyle w:val="NumeraodeSegundoNvel"/>
        <w:ind w:left="1418"/>
      </w:pPr>
      <w:r>
        <w:t>Explicitamos, quanto à forma parcelada, que esta poderá ser executada sem a necessidade de cronograma físico-financeiro, conforme possibilita o sistema de registro de preços, bastando haver a solicitação, por escrito, do CONTRATANTE de acordo com suas necessidades, sempre que coberta por contrato administrativo.</w:t>
      </w:r>
    </w:p>
    <w:p w:rsidR="00C0004B" w:rsidRDefault="00AB0860" w:rsidP="00AA4E9C">
      <w:pPr>
        <w:pStyle w:val="Ttulo1"/>
        <w:ind w:left="426" w:hanging="284"/>
      </w:pPr>
      <w:r>
        <w:t>SOLICITAÇÃO E EXECUÇÃO DO SERVIÇO</w:t>
      </w:r>
    </w:p>
    <w:p w:rsidR="00C0004B" w:rsidRDefault="00C0004B" w:rsidP="00993120">
      <w:pPr>
        <w:pStyle w:val="NumeraoNormal1"/>
        <w:ind w:left="851" w:hanging="567"/>
      </w:pPr>
      <w:r>
        <w:t>A solicitação de serviço de transporte de passageiros será realizada através de aplicativo para</w:t>
      </w:r>
      <w:r w:rsidRPr="00643D40">
        <w:rPr>
          <w:i/>
        </w:rPr>
        <w:t xml:space="preserve"> smartphone</w:t>
      </w:r>
      <w:r w:rsidR="00941129">
        <w:rPr>
          <w:i/>
        </w:rPr>
        <w:t xml:space="preserve"> </w:t>
      </w:r>
      <w:r>
        <w:t>ou através de plataforma</w:t>
      </w:r>
      <w:r w:rsidRPr="00643D40">
        <w:rPr>
          <w:i/>
        </w:rPr>
        <w:t xml:space="preserve"> web</w:t>
      </w:r>
      <w:r>
        <w:t xml:space="preserve"> acessível por meio de dispositivos eletrônicos (computador,</w:t>
      </w:r>
      <w:r w:rsidRPr="00643D40">
        <w:rPr>
          <w:i/>
        </w:rPr>
        <w:t xml:space="preserve"> </w:t>
      </w:r>
      <w:proofErr w:type="spellStart"/>
      <w:r w:rsidRPr="00643D40">
        <w:rPr>
          <w:i/>
        </w:rPr>
        <w:t>ultrabook</w:t>
      </w:r>
      <w:proofErr w:type="spellEnd"/>
      <w:r w:rsidRPr="00643D40">
        <w:rPr>
          <w:i/>
        </w:rPr>
        <w:t xml:space="preserve">, notebook, </w:t>
      </w:r>
      <w:proofErr w:type="spellStart"/>
      <w:r w:rsidRPr="00643D40">
        <w:rPr>
          <w:i/>
        </w:rPr>
        <w:t>tablet</w:t>
      </w:r>
      <w:proofErr w:type="spellEnd"/>
      <w:r>
        <w:t xml:space="preserve"> e GPS, entre outros).</w:t>
      </w:r>
    </w:p>
    <w:p w:rsidR="006863EC" w:rsidRDefault="006863EC" w:rsidP="00993120">
      <w:pPr>
        <w:pStyle w:val="NumeraoNormal1"/>
        <w:ind w:left="851" w:hanging="567"/>
      </w:pPr>
      <w:r w:rsidRPr="006863EC">
        <w:t>Os serviços serão prestados na Região Metropolitana do Rio</w:t>
      </w:r>
      <w:r w:rsidRPr="006863EC">
        <w:t> de Janeiro</w:t>
      </w:r>
      <w:r>
        <w:t>.</w:t>
      </w:r>
    </w:p>
    <w:p w:rsidR="00C0004B" w:rsidRDefault="00C0004B" w:rsidP="00993120">
      <w:pPr>
        <w:pStyle w:val="NumeraoNormal1"/>
        <w:ind w:left="851" w:hanging="567"/>
      </w:pPr>
      <w:r>
        <w:t>Depois de concluída a solicitação imediata,</w:t>
      </w:r>
      <w:r w:rsidR="00601367">
        <w:t xml:space="preserve"> ou do horário previamente agendado,</w:t>
      </w:r>
      <w:r>
        <w:t xml:space="preserve"> o atendimento deverá ocorrer no prazo máximo de 15 (quinze) minutos </w:t>
      </w:r>
      <w:r w:rsidR="003E6A61">
        <w:t xml:space="preserve">e </w:t>
      </w:r>
      <w:r w:rsidR="00107B3C">
        <w:t xml:space="preserve">as demais situações </w:t>
      </w:r>
      <w:r w:rsidR="00925DDE">
        <w:t>ficam sujeitas às</w:t>
      </w:r>
      <w:r w:rsidR="003E6A61">
        <w:t xml:space="preserve"> condições previstas no Acordo de Níveis de Serviço</w:t>
      </w:r>
      <w:r>
        <w:t>.</w:t>
      </w:r>
    </w:p>
    <w:p w:rsidR="00107B3C" w:rsidRPr="006863EC" w:rsidRDefault="00107B3C" w:rsidP="00107B3C">
      <w:pPr>
        <w:pStyle w:val="NumeraodeSegundoNvel"/>
      </w:pPr>
      <w:r w:rsidRPr="006863EC">
        <w:t>Ficam excluídas da hipótese prevista no “subitem 4.2.”</w:t>
      </w:r>
      <w:r w:rsidR="00963B39" w:rsidRPr="006863EC">
        <w:t xml:space="preserve"> </w:t>
      </w:r>
      <w:proofErr w:type="gramStart"/>
      <w:r w:rsidRPr="006863EC">
        <w:t>as</w:t>
      </w:r>
      <w:proofErr w:type="gramEnd"/>
      <w:r w:rsidRPr="006863EC">
        <w:t xml:space="preserve"> solicitações efetuadas sob contexto de calamid</w:t>
      </w:r>
      <w:r w:rsidR="00DD6F62" w:rsidRPr="006863EC">
        <w:t>ade pú</w:t>
      </w:r>
      <w:r w:rsidR="006863EC" w:rsidRPr="006863EC">
        <w:t xml:space="preserve">blica ou desastre natural. </w:t>
      </w:r>
    </w:p>
    <w:p w:rsidR="001855A4" w:rsidRDefault="001855A4" w:rsidP="00993120">
      <w:pPr>
        <w:pStyle w:val="NumeraoNormal1"/>
        <w:ind w:left="851" w:hanging="567"/>
      </w:pPr>
      <w:r>
        <w:t>A cobrança da corrida deverá ser iniciada somente no momento do embarque do Usuário, encerrando-se a apuração do valor a ser cobrado no momento da chegada ao destino final.</w:t>
      </w:r>
    </w:p>
    <w:p w:rsidR="00330CE1" w:rsidRDefault="00330CE1" w:rsidP="00330CE1">
      <w:pPr>
        <w:pStyle w:val="NumeraoNormal1"/>
        <w:ind w:left="851" w:hanging="567"/>
      </w:pPr>
      <w:r>
        <w:t>O pagamento do valor correspondente à corrida deverá ser proce</w:t>
      </w:r>
      <w:r w:rsidR="001F59B6">
        <w:t>ssado e cobrado pelo aplicativo, sem a hipótese de cobrança de taxas extras (incluindo pedágios) no momento da corrida. Caso haja pedágios no trajeto solicitado, estes deverão estar inclusos no valor estimado da corrida.</w:t>
      </w:r>
    </w:p>
    <w:p w:rsidR="003909BB" w:rsidRDefault="00413314" w:rsidP="003909BB">
      <w:pPr>
        <w:pStyle w:val="NumeraoNormal1"/>
        <w:ind w:left="851" w:hanging="567"/>
      </w:pPr>
      <w:r>
        <w:lastRenderedPageBreak/>
        <w:t>Caso a CONTRATADA disponha de solução de compartilhamento de viagens, poderá ser</w:t>
      </w:r>
      <w:r w:rsidR="003909BB">
        <w:t xml:space="preserve"> permitido o atendimento de mais de um chamado simultaneamente, desde que:</w:t>
      </w:r>
    </w:p>
    <w:p w:rsidR="003909BB" w:rsidRDefault="003E6A61" w:rsidP="003909BB">
      <w:pPr>
        <w:pStyle w:val="NumeraodeSegundoNvel"/>
        <w:ind w:left="1418" w:hanging="567"/>
      </w:pPr>
      <w:r>
        <w:t>Origens</w:t>
      </w:r>
      <w:r w:rsidR="003909BB">
        <w:t xml:space="preserve"> e destino</w:t>
      </w:r>
      <w:r>
        <w:t>s</w:t>
      </w:r>
      <w:r w:rsidR="003909BB">
        <w:t xml:space="preserve"> das solicitações sejam </w:t>
      </w:r>
      <w:r w:rsidR="00617462">
        <w:t>confluentes</w:t>
      </w:r>
      <w:r w:rsidR="003909BB">
        <w:t>;</w:t>
      </w:r>
    </w:p>
    <w:p w:rsidR="003909BB" w:rsidRDefault="003909BB" w:rsidP="003909BB">
      <w:pPr>
        <w:pStyle w:val="NumeraodeSegundoNvel"/>
        <w:ind w:left="1418" w:hanging="567"/>
      </w:pPr>
      <w:r>
        <w:t>A adesão ao compartilhamento à corrida seja realizada até 15 minutos antes da hora agendada.</w:t>
      </w:r>
    </w:p>
    <w:p w:rsidR="00C139DC" w:rsidRDefault="00C139DC" w:rsidP="00C139DC">
      <w:pPr>
        <w:pStyle w:val="NumeraoNormal1"/>
        <w:ind w:left="851" w:hanging="567"/>
      </w:pPr>
      <w:r>
        <w:t>O serviço deverá ser executado diariamente, 24 (vinte e quatro) horas por dia, inclusive sábados, domingos e feriados, com disponibilização pela CONTRATADA de solução tecnológica para operação e gestão do serviço em tempo real.</w:t>
      </w:r>
    </w:p>
    <w:p w:rsidR="002661EB" w:rsidRDefault="002661EB" w:rsidP="00993120">
      <w:pPr>
        <w:pStyle w:val="NumeraoNormal1"/>
        <w:ind w:left="851" w:hanging="567"/>
      </w:pPr>
      <w:r>
        <w:t xml:space="preserve">A CONTRATADA deverá disponibilizar ao </w:t>
      </w:r>
      <w:r w:rsidR="00634479">
        <w:t>CONTRATANTE</w:t>
      </w:r>
      <w:r>
        <w:t xml:space="preserve"> número de telefone, endereço de email ou serviço de mensagens eletrônicas enviadas pelo próprio aplicativo, de Central de Atendimento 24 (vinte e quatro) horas, que também servirá de contato em situações de emergência.</w:t>
      </w:r>
    </w:p>
    <w:p w:rsidR="0032159A" w:rsidRDefault="0032159A" w:rsidP="0032159A">
      <w:pPr>
        <w:pStyle w:val="NumeraoNormal1"/>
        <w:ind w:left="851" w:hanging="567"/>
      </w:pPr>
      <w:r>
        <w:t xml:space="preserve">Atendimentos poderão ser contestados pelo Gestor do Contrato ou </w:t>
      </w:r>
      <w:r w:rsidR="001E6568">
        <w:t>Usuário</w:t>
      </w:r>
      <w:r>
        <w:t xml:space="preserve"> após revisão, caso seja identificado qualquer erro de cobrança.</w:t>
      </w:r>
    </w:p>
    <w:p w:rsidR="009848DB" w:rsidRDefault="009848DB" w:rsidP="009848DB">
      <w:pPr>
        <w:pStyle w:val="NumeraoNormal1"/>
        <w:ind w:left="851" w:hanging="567"/>
      </w:pPr>
      <w:r>
        <w:t xml:space="preserve">Caso haja qualquer contestação do valor da corrida pelo Gestor do Contrato e/ou </w:t>
      </w:r>
      <w:r w:rsidR="00DF336E">
        <w:t>Usuário</w:t>
      </w:r>
      <w:r>
        <w:t xml:space="preserve"> no ato da conferência posterior da corrida, prevalecerá o valor correspondente </w:t>
      </w:r>
      <w:r w:rsidR="00760B94">
        <w:t xml:space="preserve">a </w:t>
      </w:r>
      <w:r>
        <w:t xml:space="preserve">menor quilometragem percorrida entre a origem e o destino, extraída do sítio eletrônico </w:t>
      </w:r>
      <w:proofErr w:type="spellStart"/>
      <w:r w:rsidRPr="009848DB">
        <w:rPr>
          <w:i/>
        </w:rPr>
        <w:t>google</w:t>
      </w:r>
      <w:proofErr w:type="spellEnd"/>
      <w:r w:rsidRPr="009848DB">
        <w:rPr>
          <w:i/>
        </w:rPr>
        <w:t xml:space="preserve"> </w:t>
      </w:r>
      <w:proofErr w:type="spellStart"/>
      <w:r w:rsidRPr="009848DB">
        <w:rPr>
          <w:i/>
        </w:rPr>
        <w:t>maps</w:t>
      </w:r>
      <w:proofErr w:type="spellEnd"/>
      <w:r>
        <w:t xml:space="preserve"> ou, na sua indisponibilidade, outro que venha a ser convencionado entre as partes, a qual será multiplicada pelo valor unitário do quilômetro contratado.</w:t>
      </w:r>
    </w:p>
    <w:p w:rsidR="00D111C5" w:rsidRDefault="00C0004B" w:rsidP="00993120">
      <w:pPr>
        <w:pStyle w:val="NumeraoNormal1"/>
        <w:ind w:left="851" w:hanging="567"/>
      </w:pPr>
      <w:r>
        <w:t xml:space="preserve"> </w:t>
      </w:r>
      <w:r w:rsidR="00D111C5">
        <w:t>O Servidor Habilitado poderá cancelar a solicitação, sem qualquer ônus para o CONTRATANTE, em tais situações:</w:t>
      </w:r>
    </w:p>
    <w:p w:rsidR="00D111C5" w:rsidRDefault="00D111C5" w:rsidP="00CE11CB">
      <w:pPr>
        <w:pStyle w:val="NumeraodeSegundoNvel"/>
        <w:ind w:left="1418" w:hanging="567"/>
      </w:pPr>
      <w:r>
        <w:t>Se o tempo de atendimento da solicitação for superior a 15 (quinze) minutos;</w:t>
      </w:r>
    </w:p>
    <w:p w:rsidR="00F46A8A" w:rsidRDefault="00D111C5" w:rsidP="00F46A8A">
      <w:pPr>
        <w:pStyle w:val="NumeraodeSegundoNvel"/>
        <w:ind w:left="1418" w:hanging="567"/>
      </w:pPr>
      <w:r>
        <w:t>Se o Usuário solicitar o cancelamento em até 5 (cinco) minutos após realizá-la.</w:t>
      </w:r>
    </w:p>
    <w:p w:rsidR="008F7147" w:rsidRDefault="008F7147" w:rsidP="00FC1A8D">
      <w:pPr>
        <w:pStyle w:val="NumeraoNormal1"/>
      </w:pPr>
      <w:r>
        <w:t xml:space="preserve"> </w:t>
      </w:r>
      <w:r w:rsidR="004B77A7">
        <w:t>Sob nenhuma hipótese os usuários da CONTRATANTE poderão exigir que os prestadores do serviço transitem por locais considerados como áreas com desafios de segurança pública.</w:t>
      </w:r>
      <w:r w:rsidR="006863EC" w:rsidRPr="006863EC">
        <w:t xml:space="preserve"> </w:t>
      </w:r>
      <w:bookmarkStart w:id="0" w:name="_GoBack"/>
      <w:bookmarkEnd w:id="0"/>
      <w:r w:rsidR="006863EC" w:rsidRPr="006863EC">
        <w:t xml:space="preserve">Como área de desafio de segurança pública, considera-se aquelas apontadas pelo Google </w:t>
      </w:r>
      <w:proofErr w:type="spellStart"/>
      <w:r w:rsidR="006863EC" w:rsidRPr="006863EC">
        <w:t>Maps</w:t>
      </w:r>
      <w:proofErr w:type="spellEnd"/>
      <w:r w:rsidR="006863EC" w:rsidRPr="006863EC">
        <w:t xml:space="preserve"> ou aplicativos como </w:t>
      </w:r>
      <w:proofErr w:type="spellStart"/>
      <w:r w:rsidR="006863EC" w:rsidRPr="006863EC">
        <w:t>Waze</w:t>
      </w:r>
      <w:proofErr w:type="spellEnd"/>
      <w:r w:rsidR="006863EC" w:rsidRPr="006863EC">
        <w:t>, OTT (Onde Tem Tiroteio) e/ou similares que forneçam alertas no momento da definição do trajeto ou quando o veículo estiver transitando pelo local.</w:t>
      </w:r>
    </w:p>
    <w:p w:rsidR="00EE6713" w:rsidRDefault="000968BA" w:rsidP="00AA4E9C">
      <w:pPr>
        <w:pStyle w:val="Ttulo1"/>
        <w:ind w:left="426" w:hanging="284"/>
      </w:pPr>
      <w:r>
        <w:lastRenderedPageBreak/>
        <w:t>FUNCIONALIDADES DO SISTEMA</w:t>
      </w:r>
    </w:p>
    <w:p w:rsidR="00925855" w:rsidRDefault="00BB69CC" w:rsidP="00993120">
      <w:pPr>
        <w:pStyle w:val="NumeraoNormal1"/>
        <w:ind w:left="851" w:hanging="567"/>
      </w:pPr>
      <w:r w:rsidRPr="00BB69CC">
        <w:t>O sist</w:t>
      </w:r>
      <w:r>
        <w:t xml:space="preserve">ema da CONTRATADA deverá dispor, </w:t>
      </w:r>
      <w:r w:rsidRPr="00BB69CC">
        <w:t>no mínimo</w:t>
      </w:r>
      <w:r>
        <w:t>, d</w:t>
      </w:r>
      <w:r w:rsidRPr="00BB69CC">
        <w:t>as seguintes funcionalidades</w:t>
      </w:r>
      <w:r w:rsidR="005C5EE9">
        <w:t>:</w:t>
      </w:r>
    </w:p>
    <w:p w:rsidR="00EA6546" w:rsidRDefault="00FF4D3C" w:rsidP="00A7624D">
      <w:pPr>
        <w:pStyle w:val="NumeraodeSegundoNvel"/>
        <w:tabs>
          <w:tab w:val="clear" w:pos="851"/>
        </w:tabs>
        <w:ind w:left="1418" w:hanging="567"/>
      </w:pPr>
      <w:r>
        <w:t xml:space="preserve"> </w:t>
      </w:r>
      <w:r w:rsidR="00EA6546">
        <w:t xml:space="preserve">Prévia identificação e cadastro dos Servidores Habilitados para a solicitação dos serviços por meio de </w:t>
      </w:r>
      <w:proofErr w:type="spellStart"/>
      <w:r w:rsidR="00EA6546">
        <w:t>login</w:t>
      </w:r>
      <w:proofErr w:type="spellEnd"/>
      <w:r w:rsidR="00EA6546">
        <w:t xml:space="preserve"> e senha, vinculados a uma Unidade Administrativa.</w:t>
      </w:r>
    </w:p>
    <w:p w:rsidR="00EA6546" w:rsidRDefault="00FF4D3C" w:rsidP="00CE11CB">
      <w:pPr>
        <w:pStyle w:val="NumeraodeSegundoNvel"/>
        <w:ind w:left="1418" w:hanging="567"/>
      </w:pPr>
      <w:r>
        <w:t xml:space="preserve"> </w:t>
      </w:r>
      <w:r w:rsidR="00CB753E">
        <w:t xml:space="preserve">O </w:t>
      </w:r>
      <w:r w:rsidR="00CB753E" w:rsidRPr="0037596C">
        <w:t xml:space="preserve">Gerenciamento por meio de senhas, com níveis de acesso diferenciados aos </w:t>
      </w:r>
      <w:r w:rsidR="00CB753E">
        <w:t xml:space="preserve">servidores </w:t>
      </w:r>
      <w:r w:rsidR="00CB753E" w:rsidRPr="0037596C">
        <w:t>indicados pelo Gestor da Ata, incluindo um acesso máster</w:t>
      </w:r>
      <w:r w:rsidR="00032DD5">
        <w:t xml:space="preserve"> para a Subsecretaria de Logística</w:t>
      </w:r>
      <w:r w:rsidR="00CB753E" w:rsidRPr="0037596C">
        <w:t xml:space="preserve">, com acesso às </w:t>
      </w:r>
      <w:r w:rsidR="00CB753E" w:rsidRPr="007459F7">
        <w:t xml:space="preserve">informações de todos os </w:t>
      </w:r>
      <w:r w:rsidR="00032DD5">
        <w:t>ÓRGÃOS PARTICIPANTES</w:t>
      </w:r>
      <w:r w:rsidR="00CB753E">
        <w:t>.</w:t>
      </w:r>
    </w:p>
    <w:p w:rsidR="004D7795" w:rsidRDefault="000370D0" w:rsidP="00CE11CB">
      <w:pPr>
        <w:pStyle w:val="NumeraodeSegundoNvel"/>
        <w:ind w:left="1418" w:hanging="567"/>
      </w:pPr>
      <w:r>
        <w:t>A</w:t>
      </w:r>
      <w:r w:rsidR="004D7795" w:rsidRPr="007459F7">
        <w:t>cesso para os gestores</w:t>
      </w:r>
      <w:r w:rsidR="004D7795">
        <w:t xml:space="preserve"> do contrato</w:t>
      </w:r>
      <w:r w:rsidR="004D7795" w:rsidRPr="007459F7">
        <w:t>, permitindo consulta, autorização, aprovação, rejeição, correção de transações, emissão e consulta de relatórios, permitindo cadastramento</w:t>
      </w:r>
      <w:r w:rsidR="00912507">
        <w:t xml:space="preserve"> e exclusão</w:t>
      </w:r>
      <w:r w:rsidR="004D7795" w:rsidRPr="007459F7">
        <w:t xml:space="preserve"> de </w:t>
      </w:r>
      <w:r w:rsidR="004D7795" w:rsidRPr="00CA758C">
        <w:t>usuários em diferentes perfis de acesso</w:t>
      </w:r>
      <w:r w:rsidR="00032DD5">
        <w:t>.</w:t>
      </w:r>
    </w:p>
    <w:p w:rsidR="00732A35" w:rsidRPr="007459F7" w:rsidRDefault="00732A35" w:rsidP="00CE11CB">
      <w:pPr>
        <w:pStyle w:val="NumeraodeSegundoNvel"/>
        <w:ind w:left="1418" w:hanging="567"/>
      </w:pPr>
      <w:r w:rsidRPr="007459F7">
        <w:t xml:space="preserve">A informatização dos controles por meio de sistema de gerenciamento integrado, possibilitando o lançamento de dados, emissão de relatórios financeiros, operacionais e cadastrais, possibilitando o efetivo controle e gestão sobre </w:t>
      </w:r>
      <w:r w:rsidR="002E7E12">
        <w:t>solicitações, corridas</w:t>
      </w:r>
      <w:r w:rsidRPr="007459F7">
        <w:t xml:space="preserve">, usuários e respectivas despesas.         </w:t>
      </w:r>
    </w:p>
    <w:p w:rsidR="00732A35" w:rsidRDefault="000370D0" w:rsidP="00CE11CB">
      <w:pPr>
        <w:pStyle w:val="NumeraodeSegundoNvel"/>
        <w:ind w:left="1418" w:hanging="567"/>
      </w:pPr>
      <w:r>
        <w:t xml:space="preserve">Disponibilização de </w:t>
      </w:r>
      <w:r w:rsidR="004D7795">
        <w:t>meios para que os</w:t>
      </w:r>
      <w:r w:rsidR="004D7795" w:rsidRPr="00A45585">
        <w:t xml:space="preserve"> </w:t>
      </w:r>
      <w:r w:rsidR="004D7795">
        <w:t>ÓRGÃOS PARTICIPANTES</w:t>
      </w:r>
      <w:r w:rsidR="004D7795" w:rsidRPr="00A45585">
        <w:t xml:space="preserve"> possa</w:t>
      </w:r>
      <w:r w:rsidR="004D7795">
        <w:t>m</w:t>
      </w:r>
      <w:r w:rsidR="004D7795" w:rsidRPr="00A45585">
        <w:t xml:space="preserve"> </w:t>
      </w:r>
      <w:r w:rsidR="004D7795">
        <w:t>definir</w:t>
      </w:r>
      <w:r w:rsidR="004D7795" w:rsidRPr="00A45585">
        <w:t xml:space="preserve"> </w:t>
      </w:r>
      <w:r w:rsidR="00CB7805">
        <w:t xml:space="preserve">o </w:t>
      </w:r>
      <w:r w:rsidR="004D7795">
        <w:t xml:space="preserve">número máximo de viagens a serem realizadas </w:t>
      </w:r>
      <w:r w:rsidR="00D86B8D">
        <w:t>mensalmente</w:t>
      </w:r>
      <w:r w:rsidR="000E4CD6" w:rsidRPr="000E4CD6">
        <w:t xml:space="preserve"> </w:t>
      </w:r>
      <w:r w:rsidR="000E4CD6" w:rsidRPr="00A45585">
        <w:t>por órgão</w:t>
      </w:r>
      <w:r w:rsidR="000E4CD6">
        <w:t xml:space="preserve"> e unidade.</w:t>
      </w:r>
    </w:p>
    <w:p w:rsidR="002B6A58" w:rsidRDefault="002B6A58" w:rsidP="002B6A58">
      <w:pPr>
        <w:pStyle w:val="NumeraoNormal1"/>
      </w:pPr>
      <w:r>
        <w:t xml:space="preserve"> </w:t>
      </w:r>
      <w:r w:rsidR="00980FBA">
        <w:t>O</w:t>
      </w:r>
      <w:r>
        <w:t xml:space="preserve"> </w:t>
      </w:r>
      <w:r w:rsidRPr="002B6A58">
        <w:rPr>
          <w:b/>
        </w:rPr>
        <w:t xml:space="preserve">aplicativo para </w:t>
      </w:r>
      <w:r w:rsidRPr="002B6A58">
        <w:rPr>
          <w:b/>
          <w:i/>
        </w:rPr>
        <w:t>smartphone</w:t>
      </w:r>
      <w:r w:rsidR="00980FBA">
        <w:rPr>
          <w:b/>
          <w:i/>
        </w:rPr>
        <w:t xml:space="preserve"> </w:t>
      </w:r>
      <w:r w:rsidR="00980FBA">
        <w:t>deverá contar, no mínimo, com as seguintes funções</w:t>
      </w:r>
      <w:r>
        <w:t>:</w:t>
      </w:r>
    </w:p>
    <w:p w:rsidR="00941129" w:rsidRDefault="00941129" w:rsidP="00CE11CB">
      <w:pPr>
        <w:pStyle w:val="NumeraodeSegundoNvel"/>
        <w:ind w:left="1418" w:hanging="567"/>
      </w:pPr>
      <w:r>
        <w:t xml:space="preserve">Compatibilidade, no mínimo, com os sistemas iOS e </w:t>
      </w:r>
      <w:proofErr w:type="spellStart"/>
      <w:r>
        <w:t>Android</w:t>
      </w:r>
      <w:proofErr w:type="spellEnd"/>
      <w:r>
        <w:t>.</w:t>
      </w:r>
    </w:p>
    <w:p w:rsidR="00EA6546" w:rsidRDefault="00E542D1" w:rsidP="00CE11CB">
      <w:pPr>
        <w:pStyle w:val="NumeraodeSegundoNvel"/>
        <w:ind w:left="1418" w:hanging="567"/>
      </w:pPr>
      <w:r>
        <w:t>D</w:t>
      </w:r>
      <w:r w:rsidR="004D7795">
        <w:t>isponibilização</w:t>
      </w:r>
      <w:r w:rsidR="008B1869">
        <w:t xml:space="preserve"> </w:t>
      </w:r>
      <w:r w:rsidR="004D7795">
        <w:t>de</w:t>
      </w:r>
      <w:r w:rsidR="00EA6546">
        <w:t xml:space="preserve"> mapa que permita o monitoramento da corrida desde a solicitação, pelo qual seja possível identificar o tempo estimado de espera para a chegada do motorista, bem como envio de notificação ao celular do Usuário e/ou ao computador do Servidor Habilitado (mapa de acompanhamento do chamado).</w:t>
      </w:r>
    </w:p>
    <w:p w:rsidR="00EA6546" w:rsidRDefault="004D7795" w:rsidP="00CE11CB">
      <w:pPr>
        <w:pStyle w:val="NumeraodeSegundoNvel"/>
        <w:ind w:left="1418" w:hanging="567"/>
      </w:pPr>
      <w:r>
        <w:t>A identificação do</w:t>
      </w:r>
      <w:r w:rsidR="00EA6546">
        <w:t xml:space="preserve"> motorista e do veículo</w:t>
      </w:r>
      <w:r>
        <w:t>, que realizará o atendimento</w:t>
      </w:r>
      <w:r w:rsidR="00EA6546">
        <w:t>, bem como a possibilidade de realizar contato telefônico com o motorista.</w:t>
      </w:r>
    </w:p>
    <w:p w:rsidR="00D86B8D" w:rsidRDefault="002B6A58" w:rsidP="00D86B8D">
      <w:pPr>
        <w:pStyle w:val="NumeraodeSegundoNvel"/>
        <w:ind w:left="1418" w:hanging="567"/>
      </w:pPr>
      <w:r>
        <w:t>D</w:t>
      </w:r>
      <w:r w:rsidR="00D86B8D">
        <w:t>isponibiliza</w:t>
      </w:r>
      <w:r w:rsidR="00732B82">
        <w:t>ção</w:t>
      </w:r>
      <w:r w:rsidR="00D86B8D">
        <w:t xml:space="preserve"> </w:t>
      </w:r>
      <w:r w:rsidR="00732B82">
        <w:t>d</w:t>
      </w:r>
      <w:r w:rsidR="00D86B8D">
        <w:t>os seguintes campos, que serão de preench</w:t>
      </w:r>
      <w:r>
        <w:t>imento obrigatório pelo Usuário</w:t>
      </w:r>
      <w:r w:rsidR="00D86B8D">
        <w:t>:</w:t>
      </w:r>
    </w:p>
    <w:p w:rsidR="00D86B8D" w:rsidRDefault="00D86B8D" w:rsidP="00D86B8D">
      <w:pPr>
        <w:pStyle w:val="NumeraodeSegundoNvel"/>
        <w:numPr>
          <w:ilvl w:val="3"/>
          <w:numId w:val="2"/>
        </w:numPr>
        <w:ind w:left="1843" w:hanging="295"/>
      </w:pPr>
      <w:r>
        <w:lastRenderedPageBreak/>
        <w:t xml:space="preserve"> Origem: campo aberto de no mínimo 80 (oitenta) caracteres;</w:t>
      </w:r>
    </w:p>
    <w:p w:rsidR="00D86B8D" w:rsidRDefault="00D86B8D" w:rsidP="00D86B8D">
      <w:pPr>
        <w:pStyle w:val="NumeraodeSegundoNvel"/>
        <w:numPr>
          <w:ilvl w:val="3"/>
          <w:numId w:val="2"/>
        </w:numPr>
        <w:ind w:left="1843" w:hanging="295"/>
      </w:pPr>
      <w:r>
        <w:t xml:space="preserve"> Destino: campo aberto de no mínimo 80 (oitenta) caracteres;</w:t>
      </w:r>
    </w:p>
    <w:p w:rsidR="00D86B8D" w:rsidRDefault="00D86B8D" w:rsidP="00D86B8D">
      <w:pPr>
        <w:pStyle w:val="NumeraodeSegundoNvel"/>
        <w:numPr>
          <w:ilvl w:val="3"/>
          <w:numId w:val="2"/>
        </w:numPr>
        <w:ind w:left="1843" w:hanging="295"/>
      </w:pPr>
      <w:r>
        <w:t xml:space="preserve"> Motivo da corrida (Justificativa): campo aberto de no mínimo 200 (duzentos) caracteres.</w:t>
      </w:r>
    </w:p>
    <w:p w:rsidR="002B6A58" w:rsidRDefault="00FB6A9E" w:rsidP="002B6A58">
      <w:pPr>
        <w:pStyle w:val="NumeraoNormal1"/>
      </w:pPr>
      <w:r>
        <w:t xml:space="preserve"> </w:t>
      </w:r>
      <w:r w:rsidR="00980FBA">
        <w:t>A</w:t>
      </w:r>
      <w:r w:rsidR="002B6A58">
        <w:t xml:space="preserve"> </w:t>
      </w:r>
      <w:r w:rsidR="002B6A58" w:rsidRPr="002B6A58">
        <w:rPr>
          <w:b/>
        </w:rPr>
        <w:t xml:space="preserve">plataforma </w:t>
      </w:r>
      <w:r w:rsidR="002B6A58" w:rsidRPr="002B6A58">
        <w:rPr>
          <w:b/>
          <w:i/>
        </w:rPr>
        <w:t>web</w:t>
      </w:r>
      <w:r w:rsidR="00980FBA">
        <w:rPr>
          <w:b/>
        </w:rPr>
        <w:t xml:space="preserve"> </w:t>
      </w:r>
      <w:r w:rsidR="00980FBA">
        <w:t>deverá dispor, no mínimo, das seguintes funcionalidades</w:t>
      </w:r>
      <w:r w:rsidR="002B6A58">
        <w:t>:</w:t>
      </w:r>
    </w:p>
    <w:p w:rsidR="00C4313F" w:rsidRDefault="00FB6A9E" w:rsidP="00CE11CB">
      <w:pPr>
        <w:pStyle w:val="NumeraodeSegundoNvel"/>
        <w:ind w:left="1418" w:hanging="567"/>
      </w:pPr>
      <w:r>
        <w:t xml:space="preserve"> </w:t>
      </w:r>
      <w:r w:rsidR="00732B82">
        <w:t>D</w:t>
      </w:r>
      <w:r w:rsidR="00923DF1">
        <w:t>isponibilização do</w:t>
      </w:r>
      <w:r w:rsidR="00C4313F">
        <w:t xml:space="preserve">s dados das corridas </w:t>
      </w:r>
      <w:r w:rsidR="003864A3">
        <w:t>em</w:t>
      </w:r>
      <w:r w:rsidR="003864A3" w:rsidRPr="00CA758C">
        <w:t xml:space="preserve"> relatórios gerenciais e operacionais informatizados</w:t>
      </w:r>
      <w:r w:rsidR="003864A3">
        <w:t xml:space="preserve"> </w:t>
      </w:r>
      <w:r w:rsidR="00C4313F" w:rsidRPr="00923DF1">
        <w:rPr>
          <w:i/>
        </w:rPr>
        <w:t>online</w:t>
      </w:r>
      <w:r w:rsidR="00C4313F">
        <w:t xml:space="preserve">, por meio de sistema </w:t>
      </w:r>
      <w:r w:rsidR="00C4313F" w:rsidRPr="00C4313F">
        <w:rPr>
          <w:i/>
        </w:rPr>
        <w:t>web</w:t>
      </w:r>
      <w:r w:rsidR="00C4313F">
        <w:t xml:space="preserve"> que armazenará os relatórios e o painel de gestão para conferência de utilização pelo Gestor do Contrato.</w:t>
      </w:r>
    </w:p>
    <w:p w:rsidR="00F47A6D" w:rsidRDefault="00FB6A9E" w:rsidP="00F47A6D">
      <w:pPr>
        <w:pStyle w:val="NumeraodeSegundoNvel"/>
        <w:ind w:left="1418" w:hanging="567"/>
      </w:pPr>
      <w:r>
        <w:t xml:space="preserve"> </w:t>
      </w:r>
      <w:r w:rsidR="00732B82">
        <w:t>C</w:t>
      </w:r>
      <w:r w:rsidR="00F47A6D">
        <w:t xml:space="preserve">ompatibilidade </w:t>
      </w:r>
      <w:r w:rsidR="00F47A6D" w:rsidRPr="00165434">
        <w:t>com</w:t>
      </w:r>
      <w:r w:rsidR="00732B82">
        <w:t xml:space="preserve"> </w:t>
      </w:r>
      <w:r w:rsidR="00F47A6D" w:rsidRPr="00165434">
        <w:t>os sistemas operacionais Windows XP/</w:t>
      </w:r>
      <w:proofErr w:type="spellStart"/>
      <w:r w:rsidR="00F47A6D" w:rsidRPr="00165434">
        <w:t>Seven</w:t>
      </w:r>
      <w:proofErr w:type="spellEnd"/>
      <w:r w:rsidR="00F47A6D" w:rsidRPr="00165434">
        <w:t>/8/10, com os navegadores MS Internet Explorer, Mozilla Firefox e Google Chrome</w:t>
      </w:r>
      <w:r w:rsidR="00F47A6D">
        <w:t xml:space="preserve">, </w:t>
      </w:r>
      <w:r w:rsidR="00F47A6D" w:rsidRPr="00165434">
        <w:t xml:space="preserve">sendo de responsabilidade da CONTRATADA quaisquer </w:t>
      </w:r>
      <w:r w:rsidR="00F47A6D" w:rsidRPr="004D7795">
        <w:rPr>
          <w:i/>
        </w:rPr>
        <w:t>softwares</w:t>
      </w:r>
      <w:r w:rsidR="00F47A6D" w:rsidRPr="00165434">
        <w:t xml:space="preserve"> adicionais necessários ao seu acesso.</w:t>
      </w:r>
    </w:p>
    <w:p w:rsidR="00E30325" w:rsidRDefault="00FB6A9E" w:rsidP="00181A36">
      <w:pPr>
        <w:pStyle w:val="NumeraodeSegundoNvel"/>
        <w:ind w:left="1418" w:hanging="567"/>
      </w:pPr>
      <w:r>
        <w:t xml:space="preserve"> </w:t>
      </w:r>
      <w:r w:rsidR="00732B82">
        <w:t xml:space="preserve">Disponibilização </w:t>
      </w:r>
      <w:r w:rsidR="00814EA7">
        <w:t>de</w:t>
      </w:r>
      <w:r w:rsidR="00E30325">
        <w:t xml:space="preserve"> relatório contendo, no mínimo, os seguintes dados sobre a corrida:</w:t>
      </w:r>
    </w:p>
    <w:p w:rsidR="004D1895" w:rsidRDefault="004D1895" w:rsidP="00437623">
      <w:pPr>
        <w:pStyle w:val="NumeraodeSegundoNvel"/>
        <w:numPr>
          <w:ilvl w:val="3"/>
          <w:numId w:val="15"/>
        </w:numPr>
        <w:ind w:left="1843" w:hanging="294"/>
      </w:pPr>
      <w:r>
        <w:t>Identificação do Usuário</w:t>
      </w:r>
      <w:r w:rsidR="00DE72C0">
        <w:t xml:space="preserve"> solicitante</w:t>
      </w:r>
      <w:r>
        <w:t xml:space="preserve">; 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 xml:space="preserve">Identificação do </w:t>
      </w:r>
      <w:r w:rsidR="00DE72C0">
        <w:t xml:space="preserve">condutor, </w:t>
      </w:r>
      <w:r w:rsidR="003A7003">
        <w:t xml:space="preserve">modelo </w:t>
      </w:r>
      <w:r w:rsidR="00DE72C0">
        <w:t xml:space="preserve">e placa </w:t>
      </w:r>
      <w:r w:rsidR="003A7003">
        <w:t xml:space="preserve">do </w:t>
      </w:r>
      <w:r>
        <w:t>veículo</w:t>
      </w:r>
      <w:r w:rsidR="00814EA7">
        <w:t>,</w:t>
      </w:r>
      <w:r>
        <w:t xml:space="preserve"> disponibilizado</w:t>
      </w:r>
      <w:r w:rsidR="00144AD7">
        <w:t>s</w:t>
      </w:r>
      <w:r>
        <w:t xml:space="preserve"> pela CONTRATADA;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 xml:space="preserve">Valor da corrida com detalhamento do preço cobrado (valor da tarifa utilizada, indicação de taxas adicionais e outros componentes de preço, se houver); 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>Endereço de origem</w:t>
      </w:r>
      <w:r w:rsidR="004D1895">
        <w:t xml:space="preserve"> e destino</w:t>
      </w:r>
      <w:r w:rsidR="003A7003">
        <w:t xml:space="preserve"> da solicitação</w:t>
      </w:r>
      <w:r>
        <w:t xml:space="preserve">; 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 xml:space="preserve">Quilometragem total percorrida; 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 xml:space="preserve">Percurso realizado; 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>Data e horário da solicitação do serviço</w:t>
      </w:r>
      <w:r w:rsidR="003A7003">
        <w:t xml:space="preserve"> e da corrida</w:t>
      </w:r>
      <w:r>
        <w:t xml:space="preserve">; 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>Horário de início</w:t>
      </w:r>
      <w:r w:rsidR="004D1895">
        <w:t xml:space="preserve"> e término</w:t>
      </w:r>
      <w:r>
        <w:t xml:space="preserve"> da corrida; 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>Horário de cancelamento da solicitação do serviço, se houver;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 xml:space="preserve">Tempo decorrido entre a efetivação da solicitação do serviço e a chegada do veículo ao local solicitado; </w:t>
      </w:r>
    </w:p>
    <w:p w:rsidR="0074742A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lastRenderedPageBreak/>
        <w:t xml:space="preserve">Identificação </w:t>
      </w:r>
      <w:r w:rsidR="004D1895">
        <w:t xml:space="preserve">da </w:t>
      </w:r>
      <w:r>
        <w:t>Unidade</w:t>
      </w:r>
      <w:r w:rsidR="0074742A">
        <w:t xml:space="preserve"> Administrativa do CONTRATANTE;</w:t>
      </w:r>
    </w:p>
    <w:p w:rsidR="00E30325" w:rsidRDefault="00E30325" w:rsidP="00437623">
      <w:pPr>
        <w:pStyle w:val="NumeraodeSegundoNvel"/>
        <w:numPr>
          <w:ilvl w:val="3"/>
          <w:numId w:val="15"/>
        </w:numPr>
        <w:ind w:left="1843" w:hanging="294"/>
      </w:pPr>
      <w:r>
        <w:t>Motivo da corrida (Justificativa).</w:t>
      </w:r>
    </w:p>
    <w:p w:rsidR="00C50DE6" w:rsidRDefault="00FB6A9E" w:rsidP="00FB6A9E">
      <w:pPr>
        <w:pStyle w:val="NumeraodeSegundoNvel"/>
        <w:ind w:left="1418" w:hanging="567"/>
      </w:pPr>
      <w:r>
        <w:t xml:space="preserve"> </w:t>
      </w:r>
      <w:r w:rsidR="00732B82">
        <w:t>V</w:t>
      </w:r>
      <w:r w:rsidR="00D748F6">
        <w:t>isualização dos dados das corridas por meio, no mínimo, dos seguintes acessos:</w:t>
      </w:r>
      <w:r>
        <w:t xml:space="preserve"> </w:t>
      </w:r>
      <w:r w:rsidR="00D748F6">
        <w:t xml:space="preserve">Corridas e gastos por </w:t>
      </w:r>
      <w:r>
        <w:t>usuário/Corridas e gastos por período de tempo</w:t>
      </w:r>
      <w:r w:rsidR="00D748F6">
        <w:t>.</w:t>
      </w:r>
    </w:p>
    <w:p w:rsidR="00D748F6" w:rsidRDefault="00FB6A9E" w:rsidP="00C50DE6">
      <w:pPr>
        <w:pStyle w:val="NumeraodeSegundoNvel"/>
        <w:ind w:left="1418" w:hanging="578"/>
      </w:pPr>
      <w:r>
        <w:t xml:space="preserve"> </w:t>
      </w:r>
      <w:r w:rsidR="00732B82">
        <w:t>D</w:t>
      </w:r>
      <w:r w:rsidR="00D748F6">
        <w:t>isponibiliza</w:t>
      </w:r>
      <w:r w:rsidR="00732B82">
        <w:t>ção de</w:t>
      </w:r>
      <w:r w:rsidR="00D748F6">
        <w:t xml:space="preserve"> funcionalidade que permita a</w:t>
      </w:r>
      <w:r w:rsidR="00D748F6" w:rsidRPr="003864A3">
        <w:t xml:space="preserve"> exportação dos relatórios para formatos tradicionais de arquivo, tais como planilhas, mas não limit</w:t>
      </w:r>
      <w:r w:rsidR="00D748F6">
        <w:t>ado a,</w:t>
      </w:r>
      <w:r>
        <w:t xml:space="preserve"> </w:t>
      </w:r>
      <w:r w:rsidR="00D748F6" w:rsidRPr="003864A3">
        <w:t>.</w:t>
      </w:r>
      <w:proofErr w:type="spellStart"/>
      <w:r w:rsidR="00D748F6" w:rsidRPr="003864A3">
        <w:t>xls</w:t>
      </w:r>
      <w:proofErr w:type="spellEnd"/>
      <w:r w:rsidR="00D748F6" w:rsidRPr="003864A3">
        <w:t>, .</w:t>
      </w:r>
      <w:proofErr w:type="spellStart"/>
      <w:r w:rsidR="00D748F6" w:rsidRPr="003864A3">
        <w:t>csv</w:t>
      </w:r>
      <w:proofErr w:type="spellEnd"/>
      <w:r w:rsidR="00D748F6" w:rsidRPr="003864A3">
        <w:t xml:space="preserve"> e .</w:t>
      </w:r>
      <w:proofErr w:type="spellStart"/>
      <w:r w:rsidR="00D748F6" w:rsidRPr="003864A3">
        <w:t>pdf</w:t>
      </w:r>
      <w:proofErr w:type="spellEnd"/>
      <w:r w:rsidR="00D748F6" w:rsidRPr="003864A3">
        <w:t>.</w:t>
      </w:r>
    </w:p>
    <w:p w:rsidR="009C3785" w:rsidRDefault="00941129" w:rsidP="00CE11CB">
      <w:pPr>
        <w:pStyle w:val="Ttulo1"/>
        <w:ind w:left="426" w:hanging="284"/>
      </w:pPr>
      <w:r>
        <w:t>VE</w:t>
      </w:r>
      <w:r w:rsidR="009C3785">
        <w:t>ÍCULOS</w:t>
      </w:r>
    </w:p>
    <w:p w:rsidR="009C3785" w:rsidRDefault="009C3785" w:rsidP="00634479">
      <w:pPr>
        <w:pStyle w:val="NumeraoNormal1"/>
        <w:numPr>
          <w:ilvl w:val="1"/>
          <w:numId w:val="14"/>
        </w:numPr>
        <w:ind w:left="709" w:hanging="425"/>
      </w:pPr>
      <w:r>
        <w:t xml:space="preserve"> O serviço de transporte de servidores dever</w:t>
      </w:r>
      <w:r w:rsidR="005C30BD">
        <w:t>á</w:t>
      </w:r>
      <w:r>
        <w:t xml:space="preserve"> </w:t>
      </w:r>
      <w:r w:rsidR="00634479">
        <w:t>apresentar</w:t>
      </w:r>
      <w:r>
        <w:t xml:space="preserve"> as seguintes características mínimas:</w:t>
      </w:r>
    </w:p>
    <w:p w:rsidR="007C177A" w:rsidRDefault="007C177A" w:rsidP="007C177A">
      <w:pPr>
        <w:pStyle w:val="NumeraodeSegundoNvel"/>
        <w:tabs>
          <w:tab w:val="clear" w:pos="851"/>
        </w:tabs>
        <w:ind w:left="1418" w:hanging="578"/>
      </w:pPr>
      <w:r>
        <w:t>Ter até 5 (cinco) anos de fabricação.</w:t>
      </w:r>
    </w:p>
    <w:p w:rsidR="009C3785" w:rsidRDefault="002161E2" w:rsidP="007C177A">
      <w:pPr>
        <w:pStyle w:val="NumeraodeSegundoNvel"/>
        <w:tabs>
          <w:tab w:val="clear" w:pos="851"/>
        </w:tabs>
        <w:ind w:left="1418" w:hanging="578"/>
      </w:pPr>
      <w:r>
        <w:t>Estar e</w:t>
      </w:r>
      <w:r w:rsidR="009C3785">
        <w:t>quipa</w:t>
      </w:r>
      <w:r w:rsidR="0084116C">
        <w:t>do com os itens</w:t>
      </w:r>
      <w:r w:rsidR="009C3785">
        <w:t xml:space="preserve"> de segurança obrigatórios pela legislação nacional e com a documentação prevista em lei.</w:t>
      </w:r>
    </w:p>
    <w:p w:rsidR="009C3785" w:rsidRDefault="002161E2" w:rsidP="007C177A">
      <w:pPr>
        <w:pStyle w:val="NumeraodeSegundoNvel"/>
        <w:tabs>
          <w:tab w:val="clear" w:pos="851"/>
        </w:tabs>
        <w:ind w:left="1418" w:hanging="578"/>
      </w:pPr>
      <w:r>
        <w:t>Equipado c</w:t>
      </w:r>
      <w:r w:rsidR="00E56C79">
        <w:t>om a</w:t>
      </w:r>
      <w:r w:rsidR="009C3785">
        <w:t>r-condicionado.</w:t>
      </w:r>
    </w:p>
    <w:p w:rsidR="009C3785" w:rsidRDefault="00A1472B" w:rsidP="007C177A">
      <w:pPr>
        <w:pStyle w:val="NumeraodeSegundoNvel"/>
        <w:tabs>
          <w:tab w:val="clear" w:pos="851"/>
        </w:tabs>
        <w:ind w:left="1418" w:hanging="578"/>
      </w:pPr>
      <w:r w:rsidRPr="00A1472B">
        <w:t>Veículos de 04 (quatro) portas, 2 (duas) de cada lado, com capacidade mínima de 5 (cin</w:t>
      </w:r>
      <w:r w:rsidR="007C177A">
        <w:t>co) lugares.</w:t>
      </w:r>
    </w:p>
    <w:p w:rsidR="009C3785" w:rsidRDefault="00E56C79" w:rsidP="007C177A">
      <w:pPr>
        <w:pStyle w:val="NumeraodeSegundoNvel"/>
        <w:tabs>
          <w:tab w:val="clear" w:pos="851"/>
        </w:tabs>
        <w:ind w:left="1418" w:hanging="578"/>
      </w:pPr>
      <w:r>
        <w:t>E</w:t>
      </w:r>
      <w:r w:rsidR="00A1472B">
        <w:t>star e</w:t>
      </w:r>
      <w:r w:rsidR="009C3785">
        <w:t xml:space="preserve">m perfeito estado de conservação e limpeza, sem </w:t>
      </w:r>
      <w:r w:rsidR="009C3785" w:rsidRPr="009C3785">
        <w:t>avarias que comprometam sua circulação e a segura</w:t>
      </w:r>
      <w:r w:rsidR="00A1472B">
        <w:t>nça no transporte de servidores</w:t>
      </w:r>
      <w:r w:rsidR="00A1472B" w:rsidRPr="00A1472B">
        <w:t>, sendo conduzidos por motoristas legalmente habil</w:t>
      </w:r>
      <w:r w:rsidR="00E27438">
        <w:t>itados, na respectiva categoria.</w:t>
      </w:r>
      <w:r w:rsidR="00A1472B">
        <w:t xml:space="preserve"> </w:t>
      </w:r>
    </w:p>
    <w:p w:rsidR="00E63E02" w:rsidRDefault="00E63E02" w:rsidP="00E63E02">
      <w:pPr>
        <w:pStyle w:val="NumeraoNormal1"/>
      </w:pPr>
      <w:r>
        <w:t xml:space="preserve"> </w:t>
      </w:r>
      <w:r w:rsidRPr="00E63E02">
        <w:t>Os veículos cadastrados ao sistema da CONTRATADA obedecerão fielmente à legislação pertinente, em especial o Código de Trânsito Brasileiro – CTB, as normas do Conselho Nacional de Trânsito – CONTRAN e a regulamentação municipal para a prestação de serviços de transporte de passageiros, no que couber.</w:t>
      </w:r>
    </w:p>
    <w:p w:rsidR="004C0F71" w:rsidRDefault="004C0F71" w:rsidP="00CE11CB">
      <w:pPr>
        <w:pStyle w:val="Ttulo1"/>
        <w:ind w:left="426" w:hanging="284"/>
      </w:pPr>
      <w:r>
        <w:t>VALIDAÇÃO DO SISTEMA</w:t>
      </w:r>
    </w:p>
    <w:p w:rsidR="004C0F71" w:rsidRPr="00601C8F" w:rsidRDefault="004C0F71" w:rsidP="00993120">
      <w:pPr>
        <w:pStyle w:val="NumeraoNormal1"/>
        <w:ind w:left="851" w:hanging="567"/>
      </w:pPr>
      <w:r w:rsidRPr="00601C8F">
        <w:t xml:space="preserve"> O proponente vencedor, em até 2 (dois) dias úteis após a fase de adjudicação, no local e horário a serem indicados pela SECCG, </w:t>
      </w:r>
      <w:r w:rsidR="006D2048" w:rsidRPr="00601C8F">
        <w:t>deverá se submeter à Prova de Conceito visando aferir o atendimento dos requisitos e funcionalidades mínimas da solução tecnológica especificadas no Termo de Referência</w:t>
      </w:r>
      <w:r w:rsidRPr="00601C8F">
        <w:t>,</w:t>
      </w:r>
      <w:r w:rsidR="00361B2A" w:rsidRPr="00601C8F">
        <w:t xml:space="preserve"> cuja validação será realizada </w:t>
      </w:r>
      <w:r w:rsidRPr="00601C8F">
        <w:t>por uma comissão composta por servidores da Su</w:t>
      </w:r>
      <w:r w:rsidR="00926F03" w:rsidRPr="00601C8F">
        <w:t>bsecretaria</w:t>
      </w:r>
      <w:r w:rsidRPr="00601C8F">
        <w:t xml:space="preserve"> de Logística quanto ao atendimento dos critérios estabelecidos neste Termo de Referência.</w:t>
      </w:r>
    </w:p>
    <w:p w:rsidR="004C0F71" w:rsidRPr="00330B10" w:rsidRDefault="00F5162D" w:rsidP="00CE11CB">
      <w:pPr>
        <w:pStyle w:val="NumeraodeSegundoNvel"/>
        <w:ind w:left="1418" w:hanging="567"/>
      </w:pPr>
      <w:r>
        <w:lastRenderedPageBreak/>
        <w:t xml:space="preserve"> </w:t>
      </w:r>
      <w:r w:rsidR="004C0F71" w:rsidRPr="00330B10">
        <w:t>A comissão da Su</w:t>
      </w:r>
      <w:r w:rsidR="00926F03">
        <w:t>bsecretaria</w:t>
      </w:r>
      <w:r w:rsidR="004C0F71" w:rsidRPr="00330B10">
        <w:t xml:space="preserve"> de Logística terá até 2 (dois) dias úteis para validar o </w:t>
      </w:r>
      <w:r w:rsidR="007F3AE2">
        <w:t>s</w:t>
      </w:r>
      <w:r w:rsidR="004C0F71" w:rsidRPr="00330B10">
        <w:t>istema.</w:t>
      </w:r>
    </w:p>
    <w:p w:rsidR="004C0F71" w:rsidRPr="00330B10" w:rsidRDefault="00F5162D" w:rsidP="00CE11CB">
      <w:pPr>
        <w:pStyle w:val="NumeraodeSegundoNvel"/>
        <w:ind w:left="1418" w:hanging="567"/>
      </w:pPr>
      <w:r>
        <w:t xml:space="preserve"> </w:t>
      </w:r>
      <w:r w:rsidR="004C0F71" w:rsidRPr="00330B10">
        <w:t>Caso seja constatada a necessidade de aprimoramento do Sistema para que atenda a todos os critérios previstos neste Termo de Referência, o proponente terá o prazo de 5 (cinco) dias úteis para promover as modificações necessárias e realizar nova apresentação simulada.</w:t>
      </w:r>
    </w:p>
    <w:p w:rsidR="004C0F71" w:rsidRPr="000F5F52" w:rsidRDefault="00F5162D" w:rsidP="00CE11CB">
      <w:pPr>
        <w:pStyle w:val="NumeraodeSegundoNvel"/>
        <w:ind w:left="1418" w:hanging="567"/>
      </w:pPr>
      <w:r>
        <w:t xml:space="preserve"> </w:t>
      </w:r>
      <w:r w:rsidR="004C0F71" w:rsidRPr="000F5F52">
        <w:t xml:space="preserve">Findo o prazo previsto no </w:t>
      </w:r>
      <w:r w:rsidR="004C0F71" w:rsidRPr="005C1E7C">
        <w:t xml:space="preserve">subitem </w:t>
      </w:r>
      <w:r w:rsidR="00527205">
        <w:t>7</w:t>
      </w:r>
      <w:r w:rsidR="004C0F71" w:rsidRPr="005C1E7C">
        <w:t>.1.2 e</w:t>
      </w:r>
      <w:r w:rsidR="004C0F71" w:rsidRPr="000F5F52">
        <w:t xml:space="preserve"> não havendo adequação do Sistema ao previsto neste Termo de Referência, o proponente será desclassificado.</w:t>
      </w:r>
    </w:p>
    <w:p w:rsidR="004C0F71" w:rsidRDefault="004C0F71" w:rsidP="00350729">
      <w:pPr>
        <w:pStyle w:val="Ttulo1"/>
        <w:ind w:left="426" w:hanging="284"/>
      </w:pPr>
      <w:r>
        <w:t>IMPLANTAÇÃO E TREINAMENTO</w:t>
      </w:r>
    </w:p>
    <w:p w:rsidR="004C0F71" w:rsidRPr="00AB58C4" w:rsidRDefault="004C0F71" w:rsidP="00993120">
      <w:pPr>
        <w:pStyle w:val="NumeraoNormal1"/>
        <w:ind w:left="851" w:hanging="567"/>
      </w:pPr>
      <w:r>
        <w:t xml:space="preserve"> </w:t>
      </w:r>
      <w:r w:rsidRPr="00AB58C4">
        <w:t xml:space="preserve">Após a assinatura da Ata de Registro de Preços, o FORNECEDOR terá um prazo de 15 (quinze) dias úteis para promover treinamentos destinados a capacitar os ÓRGÃOS PARTICIPANTES sobre a utilização do Sistema </w:t>
      </w:r>
      <w:r w:rsidR="00E71C07" w:rsidRPr="00AB58C4">
        <w:t>da CONTRATADA</w:t>
      </w:r>
      <w:r w:rsidRPr="00AB58C4">
        <w:t xml:space="preserve"> e </w:t>
      </w:r>
      <w:r w:rsidR="00E71C07" w:rsidRPr="00AB58C4">
        <w:t>dem</w:t>
      </w:r>
      <w:r w:rsidRPr="00AB58C4">
        <w:t>a</w:t>
      </w:r>
      <w:r w:rsidR="00E71C07" w:rsidRPr="00AB58C4">
        <w:t>is operações a ele ligadas</w:t>
      </w:r>
      <w:r w:rsidRPr="00AB58C4">
        <w:t>.</w:t>
      </w:r>
    </w:p>
    <w:p w:rsidR="004C0F71" w:rsidRDefault="00092721" w:rsidP="00CE11CB">
      <w:pPr>
        <w:pStyle w:val="NumeraodeSegundoNvel"/>
        <w:ind w:left="1418" w:hanging="567"/>
      </w:pPr>
      <w:r>
        <w:t xml:space="preserve"> </w:t>
      </w:r>
      <w:r w:rsidR="004C0F71">
        <w:t>A Subsecretaria de Logística ficará responsável por indicar os representantes adequados de cada ÓRGÃO PARTICIPANTE e auxiliar na mobilização para os treinamentos.</w:t>
      </w:r>
    </w:p>
    <w:p w:rsidR="004C0F71" w:rsidRPr="00AB58C4" w:rsidRDefault="00092721" w:rsidP="00CE11CB">
      <w:pPr>
        <w:pStyle w:val="NumeraodeSegundoNvel"/>
        <w:ind w:left="1418" w:hanging="567"/>
      </w:pPr>
      <w:r>
        <w:t xml:space="preserve"> </w:t>
      </w:r>
      <w:r w:rsidR="004C0F71">
        <w:t xml:space="preserve">O treinamento inicial ocorrerá em evento único, presencial, em local a ser </w:t>
      </w:r>
      <w:r w:rsidR="004C0F71" w:rsidRPr="00AB58C4">
        <w:t>disponibilizado pela Subsecretaria de Logística, no Rio de Janeiro</w:t>
      </w:r>
      <w:r w:rsidR="005B5097" w:rsidRPr="00AB58C4">
        <w:t xml:space="preserve"> </w:t>
      </w:r>
      <w:r w:rsidR="004C0F71" w:rsidRPr="00AB58C4">
        <w:t>-</w:t>
      </w:r>
      <w:r w:rsidR="005B5097" w:rsidRPr="00AB58C4">
        <w:t xml:space="preserve"> </w:t>
      </w:r>
      <w:r w:rsidR="004C0F71" w:rsidRPr="00AB58C4">
        <w:t>RJ.</w:t>
      </w:r>
    </w:p>
    <w:p w:rsidR="004C0F71" w:rsidRPr="00AB58C4" w:rsidRDefault="00092721" w:rsidP="00CE11CB">
      <w:pPr>
        <w:pStyle w:val="NumeraodeSegundoNvel"/>
        <w:ind w:left="1418" w:hanging="567"/>
      </w:pPr>
      <w:r w:rsidRPr="00AB58C4">
        <w:t xml:space="preserve"> </w:t>
      </w:r>
      <w:r w:rsidR="004C0F71" w:rsidRPr="00AB58C4">
        <w:t xml:space="preserve">Além do treinamento inicial, a CONTRATADA deverá capacitar os servidores de cada ÓRGÃO PARTICIPANTE, </w:t>
      </w:r>
      <w:r w:rsidR="004C0F71" w:rsidRPr="00AB58C4">
        <w:rPr>
          <w:i/>
        </w:rPr>
        <w:t>in loco</w:t>
      </w:r>
      <w:r w:rsidR="004C0F71" w:rsidRPr="00AB58C4">
        <w:t>, num prazo de até 10 (dez) dias úteis após a assinatura do contrato, podendo ser combinado o agrupamento de representantes dos órgãos em turmas maiores.</w:t>
      </w:r>
    </w:p>
    <w:p w:rsidR="004C0F71" w:rsidRDefault="004C0F71" w:rsidP="00993120">
      <w:pPr>
        <w:pStyle w:val="NumeraoNormal1"/>
        <w:ind w:left="851" w:hanging="567"/>
      </w:pPr>
      <w:r>
        <w:t>Prazos e atividades adicionais podem ser negociados entre as partes contratantes, sempre visando atender ao melhor interesse da contratação.</w:t>
      </w:r>
    </w:p>
    <w:p w:rsidR="004C0F71" w:rsidRDefault="004C0F71" w:rsidP="00993120">
      <w:pPr>
        <w:pStyle w:val="NumeraoNormal1"/>
        <w:ind w:left="851" w:hanging="567"/>
      </w:pPr>
      <w:r>
        <w:t>Durante a execução dos contratos, a CONTRATANTE poderá solicitar treinamentos para servidores específicos em virtude d</w:t>
      </w:r>
      <w:r w:rsidR="00C50DE6">
        <w:t>a</w:t>
      </w:r>
      <w:r>
        <w:t xml:space="preserve"> necessidade substituição dos servidores envolvidos ou por demais situações que exijam revalidação dos conhecimentos.</w:t>
      </w:r>
    </w:p>
    <w:p w:rsidR="004C0F71" w:rsidRDefault="004C0F71" w:rsidP="00FB6D9E">
      <w:pPr>
        <w:pStyle w:val="NumeraodeSegundoNvel"/>
        <w:ind w:left="1418"/>
      </w:pPr>
      <w:r>
        <w:t>Serão aceitos treinamentos suportados por plataformas de Ensino à Distância – EAD, tais como vídeos tutoriais, aulas gravadas e apresentações gravadas, desde que a CONTRATADA disponibilize funcionários para sanar eventuais dúvidas</w:t>
      </w:r>
      <w:r w:rsidR="00601367">
        <w:t>, mesmo que por telefone, que porventura</w:t>
      </w:r>
      <w:r>
        <w:t xml:space="preserve"> não</w:t>
      </w:r>
      <w:r w:rsidR="00601367">
        <w:t xml:space="preserve"> sejam</w:t>
      </w:r>
      <w:r>
        <w:t xml:space="preserve"> solucionadas pelo EAD. </w:t>
      </w:r>
    </w:p>
    <w:p w:rsidR="004C0F71" w:rsidRDefault="00993120" w:rsidP="00CE11CB">
      <w:pPr>
        <w:pStyle w:val="NumeraodeSegundoNvel"/>
        <w:ind w:left="1418" w:hanging="567"/>
      </w:pPr>
      <w:r>
        <w:lastRenderedPageBreak/>
        <w:t xml:space="preserve"> </w:t>
      </w:r>
      <w:r w:rsidR="004C0F71">
        <w:t>A mera disponibilização de manual de orientação ao usuário não será considerada uma forma de EAD.</w:t>
      </w:r>
    </w:p>
    <w:p w:rsidR="004C0F71" w:rsidRDefault="00993120" w:rsidP="00CE11CB">
      <w:pPr>
        <w:pStyle w:val="NumeraodeSegundoNvel"/>
        <w:ind w:left="1418" w:hanging="567"/>
      </w:pPr>
      <w:r>
        <w:t xml:space="preserve"> </w:t>
      </w:r>
      <w:r w:rsidR="004C0F71">
        <w:t>Atualizações do Sistema que modifiquem a forma de acess</w:t>
      </w:r>
      <w:r w:rsidR="005F0546">
        <w:t>á-lo</w:t>
      </w:r>
      <w:r w:rsidR="004C0F71">
        <w:t xml:space="preserve"> e oper</w:t>
      </w:r>
      <w:r w:rsidR="005F0546">
        <w:t>á-lo</w:t>
      </w:r>
      <w:r w:rsidR="004C0F71">
        <w:t xml:space="preserve"> deverão ser alvo de treinamentos específicos, sendo aceito treinamentos suportados por EAD.</w:t>
      </w:r>
    </w:p>
    <w:p w:rsidR="004C0F71" w:rsidRPr="000F5F52" w:rsidRDefault="004C0F71" w:rsidP="00CE11CB">
      <w:pPr>
        <w:pStyle w:val="NumeraoNormal1"/>
        <w:ind w:left="851" w:hanging="425"/>
      </w:pPr>
      <w:r>
        <w:t>Além das possibilidades listadas, a CONTRATADA também deverá disponibilizar e manter atualizado um manual de orientação ao usuário.</w:t>
      </w:r>
    </w:p>
    <w:p w:rsidR="00B9474F" w:rsidRDefault="00B9474F" w:rsidP="00AA4E9C">
      <w:pPr>
        <w:pStyle w:val="Ttulo1"/>
        <w:ind w:left="426" w:hanging="284"/>
      </w:pPr>
      <w:r>
        <w:t>FORMA DE PAGAMENTO</w:t>
      </w:r>
    </w:p>
    <w:p w:rsidR="00AC448C" w:rsidRDefault="00A7624D" w:rsidP="00993120">
      <w:pPr>
        <w:pStyle w:val="NumeraoNormal1"/>
        <w:ind w:left="851" w:hanging="567"/>
      </w:pPr>
      <w:r>
        <w:t xml:space="preserve"> Os </w:t>
      </w:r>
      <w:r w:rsidR="00AC448C" w:rsidRPr="00AC448C">
        <w:t xml:space="preserve">pagamentos serão realizados </w:t>
      </w:r>
      <w:r w:rsidR="00F164A6">
        <w:t>mensalmente</w:t>
      </w:r>
      <w:r w:rsidR="00AC448C" w:rsidRPr="00AC448C">
        <w:t xml:space="preserve"> pelos </w:t>
      </w:r>
      <w:r w:rsidR="00AB4322">
        <w:t>ÓRGÃOS PARTICIPANTES</w:t>
      </w:r>
      <w:r w:rsidR="00AC448C" w:rsidRPr="00AC448C">
        <w:t xml:space="preserve">, </w:t>
      </w:r>
      <w:r w:rsidR="00AC448C" w:rsidRPr="00F15557">
        <w:t>com prazo de pagamento à vista, de acordo com os contratos assinados por cada um deles,</w:t>
      </w:r>
      <w:r w:rsidR="00AC448C" w:rsidRPr="00AC448C">
        <w:t xml:space="preserve"> considerando as quantidades e valores dos itens faturados.</w:t>
      </w:r>
    </w:p>
    <w:p w:rsidR="00AC448C" w:rsidRDefault="00AC448C" w:rsidP="00993120">
      <w:pPr>
        <w:pStyle w:val="NumeraoNormal1"/>
        <w:ind w:left="851" w:hanging="567"/>
      </w:pPr>
      <w:r>
        <w:t xml:space="preserve"> As </w:t>
      </w:r>
      <w:r w:rsidRPr="00AC448C">
        <w:t>Notas Fiscais</w:t>
      </w:r>
      <w:r>
        <w:t xml:space="preserve"> e demais documentos relativos ao recebimento e pagamento deverão ser atestado</w:t>
      </w:r>
      <w:r w:rsidRPr="00AC448C">
        <w:t>s por dois Servidores, que não o Ordenador de Despesas, designados para a fiscalização do contrato</w:t>
      </w:r>
      <w:r>
        <w:t xml:space="preserve"> e nas condições estabelecidas pelo Decreto n° 45.600/2016.</w:t>
      </w:r>
    </w:p>
    <w:p w:rsidR="005B338D" w:rsidRDefault="005B338D" w:rsidP="00993120">
      <w:pPr>
        <w:pStyle w:val="NumeraoNormal1"/>
        <w:ind w:left="851" w:hanging="567"/>
      </w:pPr>
      <w:r>
        <w:t xml:space="preserve">Os </w:t>
      </w:r>
      <w:r w:rsidRPr="005B338D">
        <w:t>pagamentos serão efetuados, obrigatoriamente, por meio de crédito em conta corrente da instituição financeira contratada pelo Estado cujo número e agência deverão ser informados pelo adjudicatário até a assinatura do contrato</w:t>
      </w:r>
      <w:r>
        <w:t>.</w:t>
      </w:r>
    </w:p>
    <w:p w:rsidR="00A7472B" w:rsidRPr="007527F9" w:rsidRDefault="00AB58C4" w:rsidP="00AA4E9C">
      <w:pPr>
        <w:pStyle w:val="Ttulo1"/>
        <w:ind w:left="426" w:hanging="284"/>
      </w:pPr>
      <w:r>
        <w:t xml:space="preserve"> </w:t>
      </w:r>
      <w:r w:rsidR="00EC4EE8" w:rsidRPr="0098360C">
        <w:t>CONDIÇÕ</w:t>
      </w:r>
      <w:r w:rsidR="00AF6989" w:rsidRPr="0098360C">
        <w:t>ES</w:t>
      </w:r>
      <w:r w:rsidR="00AF6989" w:rsidRPr="007527F9">
        <w:t xml:space="preserve"> DA</w:t>
      </w:r>
      <w:r w:rsidR="00F00EEF" w:rsidRPr="007527F9">
        <w:t xml:space="preserve"> </w:t>
      </w:r>
      <w:r w:rsidR="00EE40E2" w:rsidRPr="007527F9">
        <w:t>PRESTAÇÃO DE SERVIÇOS</w:t>
      </w:r>
      <w:r w:rsidR="00AF6989" w:rsidRPr="007527F9">
        <w:t>, AVALIAÇÃO DA QUALIDADE E ACEITE DO OBJETO</w:t>
      </w:r>
    </w:p>
    <w:p w:rsidR="003C79B2" w:rsidRDefault="00AF6989" w:rsidP="00993120">
      <w:pPr>
        <w:pStyle w:val="NumeraoNormal1"/>
        <w:ind w:left="851" w:hanging="567"/>
      </w:pPr>
      <w:r>
        <w:t xml:space="preserve"> </w:t>
      </w:r>
      <w:r w:rsidR="00EE40E2">
        <w:t xml:space="preserve">A </w:t>
      </w:r>
      <w:r w:rsidR="00EE40E2" w:rsidRPr="009C109F">
        <w:t>prestação de serviços</w:t>
      </w:r>
      <w:r w:rsidR="003C79B2">
        <w:t xml:space="preserve"> </w:t>
      </w:r>
      <w:r w:rsidR="00197792">
        <w:t xml:space="preserve">prevista neste TR </w:t>
      </w:r>
      <w:r w:rsidR="009F2CA4" w:rsidRPr="009C109F">
        <w:t xml:space="preserve">será </w:t>
      </w:r>
      <w:r w:rsidR="009F2CA4" w:rsidRPr="003C79B2">
        <w:t>efetuad</w:t>
      </w:r>
      <w:r w:rsidR="00091CB1" w:rsidRPr="003C79B2">
        <w:t>a</w:t>
      </w:r>
      <w:r w:rsidR="003C79B2">
        <w:t xml:space="preserve"> </w:t>
      </w:r>
      <w:r w:rsidR="00F00EEF" w:rsidRPr="003C79B2">
        <w:t>de forma parcelada</w:t>
      </w:r>
      <w:r w:rsidR="003C79B2">
        <w:t>,</w:t>
      </w:r>
      <w:r w:rsidR="009C109F">
        <w:t xml:space="preserve"> à medida que surgirem a</w:t>
      </w:r>
      <w:r w:rsidR="009F2CA4" w:rsidRPr="009F2CA4">
        <w:t>s necessidades</w:t>
      </w:r>
      <w:r w:rsidR="00091CB1">
        <w:t xml:space="preserve"> </w:t>
      </w:r>
      <w:r w:rsidR="00091CB1" w:rsidRPr="009C109F">
        <w:t>de contratação</w:t>
      </w:r>
      <w:r w:rsidR="009F2CA4" w:rsidRPr="009F2CA4">
        <w:t xml:space="preserve"> do órgão gerenciador e dos órgãos participantes</w:t>
      </w:r>
      <w:r w:rsidR="009C109F">
        <w:t xml:space="preserve">.  </w:t>
      </w:r>
    </w:p>
    <w:p w:rsidR="007B57B4" w:rsidRPr="00413314" w:rsidRDefault="007B57B4" w:rsidP="00CE11CB">
      <w:pPr>
        <w:pStyle w:val="NumeraodeSegundoNvel"/>
        <w:ind w:left="1418" w:hanging="567"/>
      </w:pPr>
      <w:r w:rsidRPr="00413314">
        <w:t>Explicitamos</w:t>
      </w:r>
      <w:r w:rsidR="0048484D" w:rsidRPr="00413314">
        <w:t>,</w:t>
      </w:r>
      <w:r w:rsidRPr="00413314">
        <w:t xml:space="preserve"> </w:t>
      </w:r>
      <w:r w:rsidR="0048484D" w:rsidRPr="00413314">
        <w:t>quanto à forma parcelada, que esta poderá ser executada sem a necessidade de cronograma físico-financeiro, conforme possibilita o sistema de registro de preços, bastando haver a solicitação</w:t>
      </w:r>
      <w:r w:rsidR="00FE00FB" w:rsidRPr="00413314">
        <w:t>, por escrito,</w:t>
      </w:r>
      <w:r w:rsidR="0048484D" w:rsidRPr="00413314">
        <w:t xml:space="preserve"> do </w:t>
      </w:r>
      <w:r w:rsidR="00F75990" w:rsidRPr="00413314">
        <w:t>CONTRATANTE</w:t>
      </w:r>
      <w:r w:rsidR="0048484D" w:rsidRPr="00413314">
        <w:t xml:space="preserve"> de acordo com</w:t>
      </w:r>
      <w:r w:rsidR="00BD598A" w:rsidRPr="00413314">
        <w:t xml:space="preserve"> suas necessidades, sempre que coberta por contrato administrativo.</w:t>
      </w:r>
    </w:p>
    <w:p w:rsidR="00DE4BAB" w:rsidRPr="00413314" w:rsidRDefault="001075C1" w:rsidP="00993120">
      <w:pPr>
        <w:pStyle w:val="NumeraoNormal1"/>
        <w:ind w:left="851" w:hanging="567"/>
      </w:pPr>
      <w:r w:rsidRPr="00413314">
        <w:t xml:space="preserve"> </w:t>
      </w:r>
      <w:r w:rsidR="00DE4BAB" w:rsidRPr="00413314">
        <w:t>Os s</w:t>
      </w:r>
      <w:r w:rsidR="00454637" w:rsidRPr="00413314">
        <w:t>erviços</w:t>
      </w:r>
      <w:r w:rsidR="00443994" w:rsidRPr="00413314">
        <w:t xml:space="preserve"> serão</w:t>
      </w:r>
      <w:r w:rsidR="00454637" w:rsidRPr="00413314">
        <w:t xml:space="preserve"> prestados </w:t>
      </w:r>
      <w:r w:rsidR="00443994" w:rsidRPr="00413314">
        <w:t>de acordo com os prazos e condições previstos no Item 3</w:t>
      </w:r>
      <w:r w:rsidR="008C5C44" w:rsidRPr="00413314">
        <w:t xml:space="preserve"> e as demais condições que constarem do contrato</w:t>
      </w:r>
      <w:r w:rsidR="00C2631B" w:rsidRPr="00413314">
        <w:t xml:space="preserve"> e serão acompanhados através de Acordo de Níveis de Serviço</w:t>
      </w:r>
      <w:r w:rsidR="00443994" w:rsidRPr="00413314">
        <w:t>.</w:t>
      </w:r>
    </w:p>
    <w:p w:rsidR="00F3218C" w:rsidRPr="00413314" w:rsidRDefault="00F3218C" w:rsidP="00993120">
      <w:pPr>
        <w:pStyle w:val="NumeraoNormal1"/>
        <w:ind w:left="851" w:hanging="567"/>
      </w:pPr>
      <w:r w:rsidRPr="00413314">
        <w:lastRenderedPageBreak/>
        <w:t>A qualidade do serviço deverá ser avaliada, em cada contrato, pelo atendimento das solicitações de viagem, nos prazos previstos neste TR e no contrato.</w:t>
      </w:r>
    </w:p>
    <w:p w:rsidR="00670E5C" w:rsidRDefault="003F5415" w:rsidP="00993120">
      <w:pPr>
        <w:pStyle w:val="NumeraoNormal1"/>
        <w:ind w:left="851" w:hanging="567"/>
      </w:pPr>
      <w:r>
        <w:t xml:space="preserve"> </w:t>
      </w:r>
      <w:r w:rsidR="00670E5C" w:rsidRPr="00670E5C">
        <w:t xml:space="preserve">As condições </w:t>
      </w:r>
      <w:r w:rsidR="00B569EC">
        <w:t xml:space="preserve">do </w:t>
      </w:r>
      <w:r w:rsidR="00042804">
        <w:t>serviço</w:t>
      </w:r>
      <w:r w:rsidR="00670E5C" w:rsidRPr="00670E5C">
        <w:t xml:space="preserve"> devem ser executadas fielmente, de acordo com os termos do instrumento convocatório, do Termo de Referência – Anexo I do edital e da legislação vigente, respondendo o inadimplente pelas consequências da inexecução total ou parcial do objeto contratual.</w:t>
      </w:r>
    </w:p>
    <w:p w:rsidR="00670E5C" w:rsidRPr="001732E4" w:rsidRDefault="00670E5C" w:rsidP="00993120">
      <w:pPr>
        <w:pStyle w:val="NumeraoNormal1"/>
        <w:ind w:left="851" w:hanging="567"/>
      </w:pPr>
      <w:r>
        <w:t xml:space="preserve"> </w:t>
      </w:r>
      <w:r w:rsidRPr="00670E5C">
        <w:t xml:space="preserve">A execução do contrato será acompanhada e fiscalizada por representante(s) do CONTRATANTE </w:t>
      </w:r>
      <w:r w:rsidRPr="00B569EC">
        <w:t>especialmente</w:t>
      </w:r>
      <w:r w:rsidRPr="00670E5C">
        <w:t xml:space="preserve"> designado(s) pelo órgão contratante conforme ato de nomeação, tal fiscalização ainda seguirá os pressupostos a serem vistos neste </w:t>
      </w:r>
      <w:r w:rsidRPr="001732E4">
        <w:t>Termo.</w:t>
      </w:r>
    </w:p>
    <w:p w:rsidR="00367ABD" w:rsidRPr="001732E4" w:rsidRDefault="00367ABD" w:rsidP="00993120">
      <w:pPr>
        <w:pStyle w:val="NumeraoNormal1"/>
        <w:ind w:left="851" w:hanging="567"/>
      </w:pPr>
      <w:r w:rsidRPr="001732E4">
        <w:t>Executado o contrato, o seu objeto será recebido na forma prevista no art. 73 da Lei n.º 8.666/93,</w:t>
      </w:r>
      <w:r w:rsidR="00444B07" w:rsidRPr="001732E4">
        <w:t xml:space="preserve"> no prazo de 02 (dois) dias úteis,</w:t>
      </w:r>
      <w:r w:rsidRPr="001732E4">
        <w:t xml:space="preserve"> dispensado o recebimento provisório nas hipóteses previstas no art. 74 da mesma lei, d</w:t>
      </w:r>
      <w:r w:rsidR="006E05C1" w:rsidRPr="001732E4">
        <w:t>evido à dinâmica dos serviços em tela</w:t>
      </w:r>
      <w:r w:rsidRPr="001732E4">
        <w:t xml:space="preserve">, </w:t>
      </w:r>
      <w:r w:rsidR="006E05C1" w:rsidRPr="001732E4">
        <w:t xml:space="preserve">devendo o recebimento definitivo ser realizado </w:t>
      </w:r>
      <w:r w:rsidR="00F164A6" w:rsidRPr="001732E4">
        <w:t>mensalmente</w:t>
      </w:r>
      <w:r w:rsidR="006E05C1" w:rsidRPr="001732E4">
        <w:t xml:space="preserve"> e de acordo com todas as condições previstas neste Termo de Referência</w:t>
      </w:r>
      <w:r w:rsidR="00B6566F" w:rsidRPr="001732E4">
        <w:t xml:space="preserve"> e com o resultado verificado no ANS</w:t>
      </w:r>
      <w:r w:rsidR="00403EC5" w:rsidRPr="001732E4">
        <w:t xml:space="preserve">.  </w:t>
      </w:r>
    </w:p>
    <w:p w:rsidR="00627BB4" w:rsidRPr="006E05C1" w:rsidRDefault="00627BB4" w:rsidP="000262DE">
      <w:pPr>
        <w:pStyle w:val="NumeraodeSegundoNvel"/>
        <w:ind w:left="1418" w:hanging="708"/>
      </w:pPr>
      <w:r w:rsidRPr="006E05C1">
        <w:t>Para dar mais celeridade e facilitar o registro e acompanhamento deste recibo definitivo, diminuindo também aum</w:t>
      </w:r>
      <w:r w:rsidR="006E05C1" w:rsidRPr="006E05C1">
        <w:t xml:space="preserve">ento de trabalho desnecessário, fica estabelecido que </w:t>
      </w:r>
      <w:r w:rsidRPr="006E05C1">
        <w:t xml:space="preserve">o documento de recibo definitivo </w:t>
      </w:r>
      <w:r w:rsidR="006E05C1" w:rsidRPr="006E05C1">
        <w:t>poderá</w:t>
      </w:r>
      <w:r w:rsidRPr="006E05C1">
        <w:t xml:space="preserve"> </w:t>
      </w:r>
      <w:r w:rsidR="006E05C1" w:rsidRPr="006E05C1">
        <w:t>ser encaminhado e aceit</w:t>
      </w:r>
      <w:r w:rsidR="00FD0165">
        <w:t>o</w:t>
      </w:r>
      <w:r w:rsidRPr="006E05C1">
        <w:t xml:space="preserve"> por e-mail.</w:t>
      </w:r>
    </w:p>
    <w:p w:rsidR="00143922" w:rsidRDefault="00143922" w:rsidP="00993120">
      <w:pPr>
        <w:pStyle w:val="NumeraoNormal1"/>
        <w:ind w:left="851" w:hanging="567"/>
      </w:pPr>
      <w:r>
        <w:t xml:space="preserve"> </w:t>
      </w:r>
      <w:r w:rsidR="00C10E77" w:rsidRPr="009B6F0A">
        <w:t xml:space="preserve">Os serviços cujos padrões de qualidade e desempenho estejam em desacordo com a especificação </w:t>
      </w:r>
      <w:r w:rsidR="003F5415">
        <w:t xml:space="preserve">deste </w:t>
      </w:r>
      <w:r w:rsidR="00C10E77" w:rsidRPr="009B6F0A">
        <w:t xml:space="preserve">Termo de Referência serão recusados pelo responsável pela execução e fiscalização do contrato, que anotará em registro próprio as ocorrências e determinará o que for necessário à regularização das faltas ou defeitos observados. </w:t>
      </w:r>
    </w:p>
    <w:p w:rsidR="004B685F" w:rsidRDefault="001236F9" w:rsidP="00AA4E9C">
      <w:pPr>
        <w:pStyle w:val="Ttulo1"/>
        <w:tabs>
          <w:tab w:val="left" w:pos="142"/>
          <w:tab w:val="left" w:pos="284"/>
        </w:tabs>
        <w:ind w:left="426" w:hanging="284"/>
      </w:pPr>
      <w:r>
        <w:t>QUALIFICAÇÃO TÉCNICA</w:t>
      </w:r>
    </w:p>
    <w:p w:rsidR="001236F9" w:rsidRDefault="00D401CD" w:rsidP="00993120">
      <w:pPr>
        <w:pStyle w:val="NumeraoNormal1"/>
        <w:ind w:left="851" w:hanging="567"/>
      </w:pPr>
      <w:r>
        <w:t>Comprovação</w:t>
      </w:r>
      <w:r w:rsidR="00B033E9">
        <w:t xml:space="preserve"> </w:t>
      </w:r>
      <w:r w:rsidRPr="00D401CD">
        <w:t xml:space="preserve">de aptidão para a prestação dos serviços em características, quantidades e prazos compatíveis com pelo menos </w:t>
      </w:r>
      <w:r w:rsidR="00BF3D6A">
        <w:t>15</w:t>
      </w:r>
      <w:r w:rsidRPr="00D401CD">
        <w:t>% (</w:t>
      </w:r>
      <w:r w:rsidR="00BF3D6A">
        <w:t>quinze</w:t>
      </w:r>
      <w:r w:rsidRPr="00D401CD">
        <w:t xml:space="preserve"> por</w:t>
      </w:r>
      <w:r w:rsidR="008143FA">
        <w:t xml:space="preserve"> </w:t>
      </w:r>
      <w:r w:rsidRPr="00D401CD">
        <w:t>cento) do objeto, mediante a apresentação de atestados fornecidos por pessoas jurídicas de direito público ou privado.</w:t>
      </w:r>
    </w:p>
    <w:p w:rsidR="00B033E9" w:rsidRDefault="00D401CD" w:rsidP="00993120">
      <w:pPr>
        <w:pStyle w:val="NumeraoNormal1"/>
        <w:ind w:left="851" w:hanging="567"/>
      </w:pPr>
      <w:r>
        <w:t xml:space="preserve">Os </w:t>
      </w:r>
      <w:r w:rsidRPr="00D401CD">
        <w:t>atestados deverão trazer a informação das quantidades, prazos e características dos serviços prestados de maneira clara.</w:t>
      </w:r>
    </w:p>
    <w:p w:rsidR="00BF3D6A" w:rsidRDefault="00D401CD" w:rsidP="00993120">
      <w:pPr>
        <w:pStyle w:val="NumeraoNormal1"/>
        <w:ind w:left="851" w:hanging="567"/>
      </w:pPr>
      <w:r>
        <w:t xml:space="preserve">Para </w:t>
      </w:r>
      <w:r w:rsidRPr="00D401CD">
        <w:t>a comprovação da demanda mínima exigida em relação ao objeto, será aceito o somatório de atestados</w:t>
      </w:r>
      <w:r w:rsidR="002010F3">
        <w:t xml:space="preserve">. </w:t>
      </w:r>
    </w:p>
    <w:p w:rsidR="00D401CD" w:rsidRDefault="00D401CD" w:rsidP="00993120">
      <w:pPr>
        <w:pStyle w:val="NumeraoNormal1"/>
        <w:ind w:left="851" w:hanging="567"/>
      </w:pPr>
      <w:r>
        <w:lastRenderedPageBreak/>
        <w:t xml:space="preserve">Os </w:t>
      </w:r>
      <w:r w:rsidRPr="00D401CD">
        <w:t>atestados deverão referir-se a serviços prestados no âmbito de sua atividade econômica principal ou secundária especificadas no contrato social vigente.</w:t>
      </w:r>
    </w:p>
    <w:p w:rsidR="0076422D" w:rsidRDefault="00670309" w:rsidP="00AA4E9C">
      <w:pPr>
        <w:pStyle w:val="Ttulo1"/>
        <w:ind w:left="426" w:hanging="284"/>
      </w:pPr>
      <w:r>
        <w:t>PROCEDIMENTOS DE GESTÃO E FISCALIZAÇÃO</w:t>
      </w:r>
    </w:p>
    <w:p w:rsidR="00670309" w:rsidRDefault="00BE2185" w:rsidP="00993120">
      <w:pPr>
        <w:pStyle w:val="NumeraoNormal1"/>
        <w:tabs>
          <w:tab w:val="left" w:pos="284"/>
        </w:tabs>
        <w:ind w:left="851" w:hanging="567"/>
      </w:pPr>
      <w:r>
        <w:t xml:space="preserve"> </w:t>
      </w:r>
      <w:r w:rsidR="00CB7431">
        <w:t xml:space="preserve">Os procedimentos de </w:t>
      </w:r>
      <w:r w:rsidR="00CB7431" w:rsidRPr="00CB7431">
        <w:t>gestão da fiscalização, assim como a designação dos servidores</w:t>
      </w:r>
      <w:r w:rsidR="00AB58C4">
        <w:t xml:space="preserve"> para tal fim</w:t>
      </w:r>
      <w:r w:rsidR="0058596E">
        <w:t xml:space="preserve">, </w:t>
      </w:r>
      <w:r w:rsidR="008102F9">
        <w:t>serão</w:t>
      </w:r>
      <w:r w:rsidR="0058596E">
        <w:t xml:space="preserve"> de responsabilidade de cada CONTRATANTE</w:t>
      </w:r>
      <w:r w:rsidR="00CB7431" w:rsidRPr="00CB7431">
        <w:t>.</w:t>
      </w:r>
    </w:p>
    <w:p w:rsidR="0058596E" w:rsidRPr="006A27A4" w:rsidRDefault="0058596E" w:rsidP="00CE11CB">
      <w:pPr>
        <w:pStyle w:val="NumeraodeSegundoNvel"/>
        <w:ind w:left="1418" w:hanging="567"/>
      </w:pPr>
      <w:r w:rsidRPr="006A27A4">
        <w:t xml:space="preserve">Deverá ser indicado formalmente pela </w:t>
      </w:r>
      <w:r>
        <w:t>CONTRATADA</w:t>
      </w:r>
      <w:r w:rsidRPr="006A27A4">
        <w:t xml:space="preserve"> um Preposto, </w:t>
      </w:r>
      <w:r>
        <w:t xml:space="preserve">autorizado a tratar com o Órgão ou </w:t>
      </w:r>
      <w:r w:rsidRPr="006A27A4">
        <w:t>Entidade Contratante a respeito de todos os aspectos que envolvam a execução do contrato.</w:t>
      </w:r>
    </w:p>
    <w:p w:rsidR="00923C41" w:rsidRPr="006A27A4" w:rsidRDefault="00923C41" w:rsidP="00CE11CB">
      <w:pPr>
        <w:pStyle w:val="NumeraodeSegundoNvel"/>
        <w:ind w:left="1418" w:hanging="567"/>
      </w:pPr>
      <w:r w:rsidRPr="006A27A4">
        <w:t xml:space="preserve">Quaisquer entendimentos, sempre respeitando o conteúdo do contrato deste serviço, entre o Fiscal ou o Gestor do Contrato e o Preposto da </w:t>
      </w:r>
      <w:r w:rsidR="00F75990">
        <w:t>CONTRATADA</w:t>
      </w:r>
      <w:r w:rsidRPr="006A27A4">
        <w:t xml:space="preserve"> serão feitos sempre por escrito, não sendo consideradas alegações com fundamento em ordens ou declarações verbais.</w:t>
      </w:r>
    </w:p>
    <w:p w:rsidR="00BD5B22" w:rsidRDefault="005D099C" w:rsidP="00993120">
      <w:pPr>
        <w:pStyle w:val="NumeraoNormal1"/>
        <w:ind w:left="851" w:hanging="567"/>
      </w:pPr>
      <w:r>
        <w:t xml:space="preserve"> </w:t>
      </w:r>
      <w:r w:rsidR="00BD5B22">
        <w:t xml:space="preserve">A </w:t>
      </w:r>
      <w:r w:rsidR="00F75990">
        <w:t>CONTRATADA</w:t>
      </w:r>
      <w:r w:rsidR="00BD5B22" w:rsidRPr="00BD5B22">
        <w:t xml:space="preserve"> se obriga a cumprir fiel e integralmente as exigências que venham a ser feitas pelos servidores designados que terão plenos poderes para:</w:t>
      </w:r>
    </w:p>
    <w:p w:rsidR="00BD5B22" w:rsidRDefault="00BD5B22" w:rsidP="0047731A">
      <w:pPr>
        <w:pStyle w:val="NumeraodeSegundoNvel"/>
        <w:ind w:left="1418" w:hanging="567"/>
      </w:pPr>
      <w:r>
        <w:t xml:space="preserve">Recusar </w:t>
      </w:r>
      <w:r w:rsidRPr="00BD5B22">
        <w:t>o objeto ou parte dele quando estiver em desacordo com as discriminações do objeto.</w:t>
      </w:r>
    </w:p>
    <w:p w:rsidR="00BD5B22" w:rsidRDefault="00BD5B22" w:rsidP="0047731A">
      <w:pPr>
        <w:pStyle w:val="NumeraodeSegundoNvel"/>
        <w:ind w:left="1418" w:hanging="567"/>
      </w:pPr>
      <w:r>
        <w:t xml:space="preserve">Propor </w:t>
      </w:r>
      <w:r w:rsidRPr="00BD5B22">
        <w:t>as medidas que couberem a cada situação não prevista.</w:t>
      </w:r>
    </w:p>
    <w:p w:rsidR="00BD5B22" w:rsidRDefault="00CA2283" w:rsidP="00993120">
      <w:pPr>
        <w:pStyle w:val="NumeraoNormal1"/>
        <w:ind w:left="851" w:hanging="567"/>
      </w:pPr>
      <w:r>
        <w:t xml:space="preserve"> </w:t>
      </w:r>
      <w:r w:rsidR="004A38F3">
        <w:t xml:space="preserve">A </w:t>
      </w:r>
      <w:r w:rsidR="004A38F3" w:rsidRPr="004A38F3">
        <w:t xml:space="preserve">fiscalização de que trata este item não exclui nem reduz a responsabilidade da </w:t>
      </w:r>
      <w:r w:rsidR="00A6189B" w:rsidRPr="004A38F3">
        <w:t>CONTRATADA</w:t>
      </w:r>
      <w:r w:rsidR="004A38F3" w:rsidRPr="004A38F3">
        <w:t>, inclusive perante terceiros, por qualquer irregularidade, ainda que resultante</w:t>
      </w:r>
      <w:r w:rsidR="004A38F3">
        <w:t xml:space="preserve"> </w:t>
      </w:r>
      <w:r w:rsidR="004A38F3" w:rsidRPr="004A38F3">
        <w:t>de imperfeições técnicas ou vícios redibitórios, e, na ocorrência desta, não implica em corresponsabilidade da Administração ou de seus agentes e prepostos, de conformidade com o art. 70 da Lei Federal nº 8.666/1993.</w:t>
      </w:r>
    </w:p>
    <w:p w:rsidR="004A38F3" w:rsidRDefault="00CA2283" w:rsidP="00993120">
      <w:pPr>
        <w:pStyle w:val="NumeraoNormal1"/>
        <w:ind w:left="851" w:hanging="567"/>
      </w:pPr>
      <w:r>
        <w:t xml:space="preserve"> </w:t>
      </w:r>
      <w:r w:rsidR="004A38F3">
        <w:t xml:space="preserve">Conforme </w:t>
      </w:r>
      <w:r w:rsidR="004A38F3" w:rsidRPr="004A38F3">
        <w:t xml:space="preserve">inadimplências e irregularidades apuradas pela fiscalização, a </w:t>
      </w:r>
      <w:r w:rsidR="00A6189B" w:rsidRPr="004A38F3">
        <w:t xml:space="preserve">CONTRATANTE </w:t>
      </w:r>
      <w:r w:rsidR="004A38F3" w:rsidRPr="004A38F3">
        <w:t xml:space="preserve">poderá aplicar à </w:t>
      </w:r>
      <w:r w:rsidR="00A6189B" w:rsidRPr="004A38F3">
        <w:t>CONTRADADA</w:t>
      </w:r>
      <w:r w:rsidR="004A38F3" w:rsidRPr="004A38F3">
        <w:t xml:space="preserve"> penalidades e sanções administrativas, conforme a LF 8.666/93, garantida a prévia e ampla defesa, com os instrumentos recursais a elas inerentes, nos moldes do art. 109 da LF nº 8.666/1993.</w:t>
      </w:r>
    </w:p>
    <w:p w:rsidR="007636F7" w:rsidRPr="006417D0" w:rsidRDefault="0047731A" w:rsidP="00993120">
      <w:pPr>
        <w:pStyle w:val="NumeraoNormal1"/>
        <w:ind w:left="851" w:hanging="567"/>
      </w:pPr>
      <w:r>
        <w:rPr>
          <w:b/>
        </w:rPr>
        <w:t xml:space="preserve"> </w:t>
      </w:r>
      <w:r w:rsidR="007636F7" w:rsidRPr="002A0B58">
        <w:rPr>
          <w:b/>
        </w:rPr>
        <w:t>Sanções Administrativas</w:t>
      </w:r>
      <w:r w:rsidR="007636F7">
        <w:t xml:space="preserve">: </w:t>
      </w:r>
      <w:r w:rsidR="007636F7" w:rsidRPr="007636F7">
        <w:t xml:space="preserve">os licitantes, adjudicatários ou contratados inadimplentes estarão sujeitos às penalidades previstas no Art. 87 da Lei Federal n° 8.666/93 e no Art. 7° da Lei n° 10.520/2002, assegurados o contraditório e a ampla </w:t>
      </w:r>
      <w:r w:rsidR="007636F7" w:rsidRPr="006417D0">
        <w:t>defesa.</w:t>
      </w:r>
    </w:p>
    <w:p w:rsidR="00457782" w:rsidRPr="00E72A16" w:rsidRDefault="00454323" w:rsidP="00AA4E9C">
      <w:pPr>
        <w:pStyle w:val="Ttulo1"/>
        <w:ind w:left="426" w:hanging="295"/>
      </w:pPr>
      <w:r>
        <w:t xml:space="preserve"> </w:t>
      </w:r>
      <w:r w:rsidR="00457782" w:rsidRPr="00E72A16">
        <w:t>JULGAMENTO DAS PROPOSTAS E CRITÉRIOS DE PREÇOS</w:t>
      </w:r>
    </w:p>
    <w:p w:rsidR="009B0AB2" w:rsidRPr="002A4D31" w:rsidRDefault="00DC16B8" w:rsidP="009B0AB2">
      <w:pPr>
        <w:pStyle w:val="NumeraoNormal1"/>
        <w:ind w:left="720"/>
      </w:pPr>
      <w:r w:rsidRPr="00E72A16">
        <w:t xml:space="preserve"> </w:t>
      </w:r>
      <w:r w:rsidR="009B0AB2" w:rsidRPr="002A4D31">
        <w:t xml:space="preserve">O Julgamento e a Classificação das propostas serão realizados pelo critério do Menor Preço por Item, em conformidade com o Inciso X do Art. 40 da Lei n° </w:t>
      </w:r>
      <w:r w:rsidR="009B0AB2" w:rsidRPr="002A4D31">
        <w:lastRenderedPageBreak/>
        <w:t xml:space="preserve">8.666/93, sendo, portanto, o menor preço unitário de cada um dos itens vistos no Quadro 1 do </w:t>
      </w:r>
      <w:r w:rsidR="00471FFA" w:rsidRPr="002A4D31">
        <w:t>Item</w:t>
      </w:r>
      <w:r w:rsidR="009B0AB2" w:rsidRPr="002A4D31">
        <w:t xml:space="preserve"> 3 conforme o critério de preços (vide subitem 1</w:t>
      </w:r>
      <w:r w:rsidR="00471FFA" w:rsidRPr="002A4D31">
        <w:t>3</w:t>
      </w:r>
      <w:r w:rsidR="009B0AB2" w:rsidRPr="002A4D31">
        <w:t xml:space="preserve">.2). </w:t>
      </w:r>
    </w:p>
    <w:p w:rsidR="009B0AB2" w:rsidRPr="002A4D31" w:rsidRDefault="009B0AB2" w:rsidP="009B0AB2">
      <w:pPr>
        <w:pStyle w:val="NumeraoNormal1"/>
        <w:ind w:left="720"/>
      </w:pPr>
      <w:r w:rsidRPr="002A4D31">
        <w:t xml:space="preserve">O critério de aceitabilidade de preços, em respeito à Resolução PGE/RJ nº 4.012 de 17/01/2017, será feito através do valor do preço máximo (estimado) unitário de cada um dos Itens a serem licitados, conforme relação do Quadro 1, do </w:t>
      </w:r>
      <w:r w:rsidR="00471FFA" w:rsidRPr="002A4D31">
        <w:t>I</w:t>
      </w:r>
      <w:r w:rsidRPr="002A4D31">
        <w:t>tem 3 deste TR.</w:t>
      </w:r>
    </w:p>
    <w:p w:rsidR="00031835" w:rsidRDefault="00454323" w:rsidP="00AA4E9C">
      <w:pPr>
        <w:pStyle w:val="Ttulo1"/>
        <w:ind w:left="426" w:hanging="284"/>
      </w:pPr>
      <w:r>
        <w:t xml:space="preserve"> </w:t>
      </w:r>
      <w:r w:rsidR="00031835">
        <w:t>OBRIGAÇÕES DA CONTRATADA</w:t>
      </w:r>
    </w:p>
    <w:p w:rsidR="00031835" w:rsidRPr="002F47EA" w:rsidRDefault="00031835" w:rsidP="00993120">
      <w:pPr>
        <w:pStyle w:val="NumeraoNormal1"/>
        <w:ind w:left="851" w:hanging="567"/>
      </w:pPr>
      <w:r w:rsidRPr="002F47EA">
        <w:t>Conduzir os serviços de acordo com as normas do serviço e as especificações técnicas e, ainda, com estrita observância do instrumento convocatório, do Termo de Referência, da Proposta de Preços e da legislação vigente.</w:t>
      </w:r>
    </w:p>
    <w:p w:rsidR="00031835" w:rsidRPr="002F47EA" w:rsidRDefault="00031835" w:rsidP="00993120">
      <w:pPr>
        <w:pStyle w:val="NumeraoNormal1"/>
        <w:ind w:left="851" w:hanging="567"/>
      </w:pPr>
      <w:r w:rsidRPr="002F47EA">
        <w:t>Prover os serviços ora contratados, com pessoal adequado e capacitado em todos os níveis de trabalho.</w:t>
      </w:r>
    </w:p>
    <w:p w:rsidR="00031835" w:rsidRPr="002F47EA" w:rsidRDefault="00031835" w:rsidP="00993120">
      <w:pPr>
        <w:pStyle w:val="NumeraoNormal1"/>
        <w:ind w:left="851" w:hanging="567"/>
      </w:pPr>
      <w:r w:rsidRPr="002F47EA">
        <w:t>Iniciar e concluir os serviços nos prazos estipulados.</w:t>
      </w:r>
    </w:p>
    <w:p w:rsidR="00031835" w:rsidRPr="002F47EA" w:rsidRDefault="00031835" w:rsidP="00993120">
      <w:pPr>
        <w:pStyle w:val="NumeraoNormal1"/>
        <w:ind w:left="851" w:hanging="567"/>
      </w:pPr>
      <w:r w:rsidRPr="002F47EA">
        <w:t>Comunicar ao Fiscal do contrato, por escrito e tão logo constatado problema ou a impossibilidade de execução de qualquer obrigação contratual, para a adoção das providências cabíveis.</w:t>
      </w:r>
    </w:p>
    <w:p w:rsidR="00031835" w:rsidRPr="002F47EA" w:rsidRDefault="00031835" w:rsidP="00993120">
      <w:pPr>
        <w:pStyle w:val="NumeraoNormal1"/>
        <w:ind w:left="851" w:hanging="567"/>
      </w:pPr>
      <w:r w:rsidRPr="002F47EA">
        <w:t>Responder pelos serviços que executar, na forma do ato convocatório e da legislação aplicável.</w:t>
      </w:r>
    </w:p>
    <w:p w:rsidR="00031835" w:rsidRPr="00361B2A" w:rsidRDefault="00031835" w:rsidP="00993120">
      <w:pPr>
        <w:pStyle w:val="NumeraoNormal1"/>
        <w:ind w:left="851" w:hanging="567"/>
      </w:pPr>
      <w:r w:rsidRPr="00361B2A">
        <w:t>Elaborar relatório mensal sobre a prestação dos serviços, dirigido ao fiscal do contrato</w:t>
      </w:r>
      <w:r w:rsidR="00AC7B6F" w:rsidRPr="00361B2A">
        <w:t xml:space="preserve"> e ao gerenciador da Ata de Registro de Preços</w:t>
      </w:r>
      <w:r w:rsidRPr="00361B2A">
        <w:t xml:space="preserve">, relatando todos os serviços realizados, eventuais problemas verificados e qualquer fato relevante sobre </w:t>
      </w:r>
      <w:r w:rsidR="00F300C9" w:rsidRPr="00361B2A">
        <w:t xml:space="preserve">a execução do objeto </w:t>
      </w:r>
      <w:r w:rsidR="00311088" w:rsidRPr="00361B2A">
        <w:t>contratu</w:t>
      </w:r>
      <w:r w:rsidR="00361B2A" w:rsidRPr="00361B2A">
        <w:t xml:space="preserve">al. </w:t>
      </w:r>
    </w:p>
    <w:p w:rsidR="00031835" w:rsidRPr="002F47EA" w:rsidRDefault="00F300C9" w:rsidP="00993120">
      <w:pPr>
        <w:pStyle w:val="NumeraoNormal1"/>
        <w:ind w:left="851" w:hanging="567"/>
      </w:pPr>
      <w:r>
        <w:t xml:space="preserve"> </w:t>
      </w:r>
      <w:r w:rsidR="00031835" w:rsidRPr="002F47EA">
        <w:t>Manter, durante toda a duração deste contrato, em compatibilidade com as obrigações assumidas, as condições de habilitação e qualificação exigidas para participação na licitação.</w:t>
      </w:r>
    </w:p>
    <w:p w:rsidR="00DA5041" w:rsidRDefault="00DA5041" w:rsidP="00993120">
      <w:pPr>
        <w:pStyle w:val="NumeraoNormal1"/>
        <w:tabs>
          <w:tab w:val="left" w:pos="426"/>
        </w:tabs>
        <w:ind w:left="851" w:hanging="567"/>
      </w:pPr>
      <w:r>
        <w:t>Manter sigilo, sob pena de responsabilidade civil, penal e administrativa, sobre todo e qualquer ass</w:t>
      </w:r>
      <w:r w:rsidR="0083748A">
        <w:t>unto e documento de interesse da</w:t>
      </w:r>
      <w:r>
        <w:t xml:space="preserve"> CONTRATANTE, ou de terceiros, de que tomar conhecimento em razão da execução do objeto deste contrato, devendo orientar seus empregados a observar rigorosamente esta determinação.</w:t>
      </w:r>
    </w:p>
    <w:p w:rsidR="00DA5041" w:rsidRPr="00794A28" w:rsidRDefault="00DA5041" w:rsidP="00993120">
      <w:pPr>
        <w:pStyle w:val="NumeraoNormal1"/>
        <w:tabs>
          <w:tab w:val="left" w:pos="426"/>
        </w:tabs>
        <w:ind w:left="851" w:hanging="567"/>
      </w:pPr>
      <w:r w:rsidRPr="00794A28">
        <w:t>Não reproduzir, divulgar ou utilizar em benefício próprio, ou de terceiros, quaisquer informações que tenha tomado conhecimento em razão da execução dos serviços objeto deste contrato sem o consentimento, por escrito, da CONTRATANTE.</w:t>
      </w:r>
    </w:p>
    <w:p w:rsidR="00DA5041" w:rsidRDefault="00DA5041" w:rsidP="00993120">
      <w:pPr>
        <w:pStyle w:val="NumeraoNormal1"/>
        <w:tabs>
          <w:tab w:val="left" w:pos="426"/>
        </w:tabs>
        <w:ind w:left="851" w:hanging="567"/>
      </w:pPr>
      <w:r w:rsidRPr="00794A28">
        <w:lastRenderedPageBreak/>
        <w:t>Ap</w:t>
      </w:r>
      <w:r>
        <w:t>resentar os documentos fiscais de cobrança em conformidade com o estabelecido no contrato.</w:t>
      </w:r>
    </w:p>
    <w:p w:rsidR="00DA5041" w:rsidRDefault="00DA5041" w:rsidP="00993120">
      <w:pPr>
        <w:pStyle w:val="NumeraoNormal1"/>
        <w:tabs>
          <w:tab w:val="left" w:pos="426"/>
        </w:tabs>
        <w:ind w:left="851" w:hanging="567"/>
      </w:pPr>
      <w:r>
        <w:t>Manter atualizados seu endereço, telefones e dados bancários para a efetivação de pagamentos.</w:t>
      </w:r>
    </w:p>
    <w:p w:rsidR="00AD7A30" w:rsidRDefault="00AD7A30" w:rsidP="00AA4E9C">
      <w:pPr>
        <w:pStyle w:val="Ttulo1"/>
        <w:ind w:left="426" w:hanging="284"/>
      </w:pPr>
      <w:r>
        <w:t xml:space="preserve">OBRIGAÇÕES </w:t>
      </w:r>
      <w:r w:rsidR="003A7737">
        <w:t>DOS ÓRGÃOS PARTICIPANTES</w:t>
      </w:r>
    </w:p>
    <w:p w:rsidR="00AD7A30" w:rsidRDefault="00AD7A30" w:rsidP="00993120">
      <w:pPr>
        <w:pStyle w:val="NumeraoNormal1"/>
        <w:tabs>
          <w:tab w:val="left" w:pos="284"/>
        </w:tabs>
        <w:ind w:left="851" w:hanging="567"/>
      </w:pPr>
      <w:r>
        <w:t xml:space="preserve">Comunicar </w:t>
      </w:r>
      <w:r w:rsidRPr="004C0637">
        <w:t xml:space="preserve">à </w:t>
      </w:r>
      <w:r>
        <w:t>CONTRATADA</w:t>
      </w:r>
      <w:r w:rsidRPr="004C0637">
        <w:t>, por escrito, sobre imperfeições, falhas o</w:t>
      </w:r>
      <w:r>
        <w:t>u irregularidades verificadas na execução do</w:t>
      </w:r>
      <w:r w:rsidRPr="004C0637">
        <w:t xml:space="preserve"> objeto, para que seja</w:t>
      </w:r>
      <w:r>
        <w:t>m sanadas as ocorrências, com as devidas reparações</w:t>
      </w:r>
      <w:r w:rsidRPr="004C0637">
        <w:t xml:space="preserve"> ou corr</w:t>
      </w:r>
      <w:r>
        <w:t>eções.</w:t>
      </w:r>
    </w:p>
    <w:p w:rsidR="00AD7A30" w:rsidRDefault="00AD7A30" w:rsidP="00993120">
      <w:pPr>
        <w:pStyle w:val="NumeraoNormal1"/>
        <w:tabs>
          <w:tab w:val="left" w:pos="284"/>
        </w:tabs>
        <w:ind w:left="851" w:hanging="567"/>
      </w:pPr>
      <w:r>
        <w:t xml:space="preserve">Acompanhar </w:t>
      </w:r>
      <w:r w:rsidRPr="004C0637">
        <w:t xml:space="preserve">e fiscalizar o cumprimento das obrigações da </w:t>
      </w:r>
      <w:r>
        <w:t>CONTRATADA</w:t>
      </w:r>
      <w:r w:rsidRPr="004C0637">
        <w:t xml:space="preserve">, conforme </w:t>
      </w:r>
      <w:r>
        <w:t>o Decreto Estadual nº 45.600</w:t>
      </w:r>
      <w:r w:rsidRPr="004C0637">
        <w:t>/2016</w:t>
      </w:r>
      <w:r>
        <w:t>.</w:t>
      </w:r>
    </w:p>
    <w:p w:rsidR="00AD7A30" w:rsidRPr="00C96BD6" w:rsidRDefault="00AD7A30" w:rsidP="00993120">
      <w:pPr>
        <w:pStyle w:val="NumeraoNormal1"/>
        <w:tabs>
          <w:tab w:val="left" w:pos="284"/>
        </w:tabs>
        <w:ind w:left="851" w:hanging="567"/>
      </w:pPr>
      <w:r w:rsidRPr="00C96BD6">
        <w:t>Efetuar o pagamento à CONTRATADA, pela execução dos serviços prestados nos termos e prazos contratualmente previstos, após a plena verificação de todas as fases merecedoras de fiscalização</w:t>
      </w:r>
      <w:r w:rsidR="00FD7D54" w:rsidRPr="00C96BD6">
        <w:t xml:space="preserve"> e do recebimento definitivo</w:t>
      </w:r>
      <w:r w:rsidR="00B6566F" w:rsidRPr="00C96BD6">
        <w:t>, e de acordo com o resultado do ANS</w:t>
      </w:r>
      <w:r w:rsidR="00FD7D54" w:rsidRPr="00C96BD6">
        <w:t>.</w:t>
      </w:r>
    </w:p>
    <w:p w:rsidR="00DA17C4" w:rsidRDefault="00AD7A30" w:rsidP="00993120">
      <w:pPr>
        <w:pStyle w:val="NumeraoNormal1"/>
        <w:tabs>
          <w:tab w:val="left" w:pos="284"/>
        </w:tabs>
        <w:ind w:left="851" w:hanging="567"/>
      </w:pPr>
      <w:r>
        <w:t xml:space="preserve">A </w:t>
      </w:r>
      <w:r w:rsidRPr="00F91831">
        <w:t xml:space="preserve">Administração não responderá por quaisquer compromissos assumidos pela </w:t>
      </w:r>
      <w:r>
        <w:t>CONTRATADA</w:t>
      </w:r>
      <w:r w:rsidRPr="00F91831">
        <w:t xml:space="preserve"> com terceiros, ainda que vinculados à execução do presente Termo de Contrato, bem como por qualquer dano causado a terceiros em decorrência de ato da </w:t>
      </w:r>
      <w:r>
        <w:t>CONTRATADA</w:t>
      </w:r>
      <w:r w:rsidRPr="00F91831">
        <w:t>, de seus empregados, prepostos ou subordinados</w:t>
      </w:r>
      <w:r>
        <w:t>.</w:t>
      </w:r>
    </w:p>
    <w:p w:rsidR="00090181" w:rsidRDefault="00090181" w:rsidP="00AA4E9C">
      <w:pPr>
        <w:pStyle w:val="Ttulo1"/>
        <w:ind w:left="426" w:hanging="284"/>
      </w:pPr>
      <w:r>
        <w:t>OBRIGAÇÕES DO ÓRGÃO GERENCIADOR</w:t>
      </w:r>
    </w:p>
    <w:p w:rsidR="00090181" w:rsidRDefault="0047731A" w:rsidP="002B6A58">
      <w:pPr>
        <w:pStyle w:val="NumeraoNormal1"/>
        <w:ind w:left="851" w:hanging="567"/>
      </w:pPr>
      <w:r>
        <w:t xml:space="preserve"> </w:t>
      </w:r>
      <w:r w:rsidR="00090181">
        <w:t>A Secretaria de Estado d</w:t>
      </w:r>
      <w:r w:rsidR="006C00B0">
        <w:t>a</w:t>
      </w:r>
      <w:r w:rsidR="00090181">
        <w:t xml:space="preserve"> Casa Civil e Governança será o ÓRGÃO GERENCIADOR e seus atos serão intermediados pela Subsecretaria de Logística, ficando responsável por:</w:t>
      </w:r>
    </w:p>
    <w:p w:rsidR="00090181" w:rsidRDefault="0047731A" w:rsidP="00E15EBE">
      <w:pPr>
        <w:pStyle w:val="NumeraodeSegundoNvel"/>
        <w:ind w:left="1418" w:hanging="567"/>
      </w:pPr>
      <w:r>
        <w:t xml:space="preserve"> </w:t>
      </w:r>
      <w:r w:rsidR="00090181">
        <w:t>Gerenciar a ata de registro de preços, de acordo com o Decreto n° 44.857/2014.</w:t>
      </w:r>
    </w:p>
    <w:p w:rsidR="00090181" w:rsidRDefault="0047731A" w:rsidP="00E15EBE">
      <w:pPr>
        <w:pStyle w:val="NumeraodeSegundoNvel"/>
        <w:ind w:left="1418" w:hanging="567"/>
      </w:pPr>
      <w:r>
        <w:t xml:space="preserve"> </w:t>
      </w:r>
      <w:r w:rsidR="00090181">
        <w:t>Acompanhar constantemente a flutuação de preços no mercado, de modo a manter a vantajosidade.</w:t>
      </w:r>
    </w:p>
    <w:p w:rsidR="00090181" w:rsidRDefault="0047731A" w:rsidP="00E15EBE">
      <w:pPr>
        <w:pStyle w:val="NumeraodeSegundoNvel"/>
        <w:ind w:left="1418" w:hanging="567"/>
      </w:pPr>
      <w:r>
        <w:t xml:space="preserve"> </w:t>
      </w:r>
      <w:r w:rsidR="00090181">
        <w:t>Gerir os pedidos de adesão dos órgãos e entidades não participantes da Ata de Registro de Preços e orientar os procedimentos dos ÓRGÃOS ADERENTES.</w:t>
      </w:r>
    </w:p>
    <w:p w:rsidR="00090181" w:rsidRPr="005E1487" w:rsidRDefault="0047731A" w:rsidP="00E15EBE">
      <w:pPr>
        <w:pStyle w:val="NumeraodeSegundoNvel"/>
        <w:ind w:left="1418" w:hanging="567"/>
      </w:pPr>
      <w:r>
        <w:t xml:space="preserve"> </w:t>
      </w:r>
      <w:r w:rsidR="00090181" w:rsidRPr="005E1487">
        <w:t>Indicar, à CONTRATADA, quem serão os servidores a receberem os treinamentos e auxiliar na mobilização.</w:t>
      </w:r>
    </w:p>
    <w:p w:rsidR="00090181" w:rsidRDefault="0047731A" w:rsidP="00E15EBE">
      <w:pPr>
        <w:pStyle w:val="NumeraodeSegundoNvel"/>
        <w:ind w:left="1418" w:hanging="567"/>
      </w:pPr>
      <w:r>
        <w:lastRenderedPageBreak/>
        <w:t xml:space="preserve"> </w:t>
      </w:r>
      <w:r w:rsidR="00090181">
        <w:t>Indicar, à CONTRATADA, quem serão os servidores a receberem o acesso máster ao sistema.</w:t>
      </w:r>
    </w:p>
    <w:p w:rsidR="00090181" w:rsidRDefault="00090181" w:rsidP="00E15EBE">
      <w:pPr>
        <w:pStyle w:val="NumeraodeSegundoNvel"/>
        <w:ind w:left="1418" w:hanging="567"/>
      </w:pPr>
      <w:r w:rsidRPr="004C5F32">
        <w:t xml:space="preserve">Monitorar os riscos relacionados ao </w:t>
      </w:r>
      <w:r w:rsidR="00B5735A">
        <w:t>objeto da contratação</w:t>
      </w:r>
      <w:r>
        <w:t xml:space="preserve"> e realizar as ações de contingências que lhe caibam e quando necessárias.</w:t>
      </w:r>
    </w:p>
    <w:p w:rsidR="00090181" w:rsidRDefault="0047731A" w:rsidP="00993120">
      <w:pPr>
        <w:pStyle w:val="NumeraoNormal1"/>
        <w:ind w:left="851" w:hanging="567"/>
      </w:pPr>
      <w:r>
        <w:t xml:space="preserve"> </w:t>
      </w:r>
      <w:r w:rsidR="00090181">
        <w:t>Não caberão ao ÓRGÃO GERENCIADOR atividades relacionadas à fiscalização e gestão dos contratos.</w:t>
      </w:r>
    </w:p>
    <w:p w:rsidR="00182F4B" w:rsidRDefault="001E3FE8" w:rsidP="00AA4E9C">
      <w:pPr>
        <w:pStyle w:val="Ttulo1"/>
        <w:ind w:left="426" w:hanging="284"/>
      </w:pPr>
      <w:r>
        <w:t xml:space="preserve"> </w:t>
      </w:r>
      <w:r w:rsidR="00182F4B">
        <w:t>ACORDO DE NÍVEIS DE SERVIÇO</w:t>
      </w:r>
    </w:p>
    <w:p w:rsidR="00182F4B" w:rsidRPr="00C96BD6" w:rsidRDefault="00C5526B" w:rsidP="00993120">
      <w:pPr>
        <w:pStyle w:val="NumeraoNormal1"/>
        <w:ind w:left="851" w:hanging="567"/>
      </w:pPr>
      <w:r w:rsidRPr="00C96BD6">
        <w:t>Os Contratos serão avaliados por Acordo de Níveis de Serviço – ANS, conforme disposições do Anexo B: Acordo de Níveis de Serviço.</w:t>
      </w:r>
    </w:p>
    <w:p w:rsidR="00361B2A" w:rsidRDefault="00361B2A" w:rsidP="00C8346B"/>
    <w:p w:rsidR="001D192E" w:rsidRDefault="00C404F9" w:rsidP="00C8346B">
      <w:r w:rsidRPr="008A409C">
        <w:t xml:space="preserve">Rio de Janeiro, </w:t>
      </w:r>
      <w:r w:rsidR="00C96BD6">
        <w:t>03</w:t>
      </w:r>
      <w:r w:rsidR="008A6475">
        <w:t xml:space="preserve"> </w:t>
      </w:r>
      <w:r w:rsidR="00C125A9">
        <w:t xml:space="preserve">de </w:t>
      </w:r>
      <w:r w:rsidR="00C96BD6">
        <w:t>abril</w:t>
      </w:r>
      <w:r w:rsidR="00C125A9">
        <w:t xml:space="preserve"> de 2019</w:t>
      </w:r>
      <w:r w:rsidR="004C5F32">
        <w:t>.</w:t>
      </w:r>
    </w:p>
    <w:p w:rsidR="00525223" w:rsidRDefault="00525223" w:rsidP="00A43E5B">
      <w:pPr>
        <w:jc w:val="left"/>
      </w:pPr>
    </w:p>
    <w:p w:rsidR="00C8346B" w:rsidRDefault="00C8346B" w:rsidP="00A43E5B">
      <w:pPr>
        <w:jc w:val="left"/>
      </w:pPr>
    </w:p>
    <w:p w:rsidR="006524D0" w:rsidRDefault="006524D0" w:rsidP="006524D0">
      <w:pPr>
        <w:spacing w:before="0" w:after="0" w:line="240" w:lineRule="auto"/>
        <w:jc w:val="center"/>
      </w:pPr>
      <w:r>
        <w:t>Mario Tinoco da Silva Filho</w:t>
      </w:r>
    </w:p>
    <w:p w:rsidR="006524D0" w:rsidRDefault="006524D0" w:rsidP="006524D0">
      <w:pPr>
        <w:spacing w:before="0" w:after="0" w:line="240" w:lineRule="auto"/>
        <w:jc w:val="center"/>
      </w:pPr>
      <w:r>
        <w:t>Especialista em Políticas Públicas e Gestão Governamental</w:t>
      </w:r>
    </w:p>
    <w:p w:rsidR="008B6D94" w:rsidRDefault="006524D0" w:rsidP="00316911">
      <w:pPr>
        <w:spacing w:before="0" w:after="0" w:line="240" w:lineRule="auto"/>
        <w:jc w:val="center"/>
      </w:pPr>
      <w:r>
        <w:t>Id - 5007747-3</w:t>
      </w:r>
    </w:p>
    <w:p w:rsidR="00C96BD6" w:rsidRDefault="008B6D94" w:rsidP="00C96BD6">
      <w:pPr>
        <w:pStyle w:val="Ttulo1"/>
        <w:numPr>
          <w:ilvl w:val="0"/>
          <w:numId w:val="0"/>
        </w:numPr>
        <w:ind w:left="720"/>
        <w:jc w:val="center"/>
      </w:pPr>
      <w:r>
        <w:br w:type="page"/>
      </w:r>
      <w:r w:rsidR="00C96BD6">
        <w:lastRenderedPageBreak/>
        <w:t>ANEXO A: RELAÇÃO DE ÓRGÃOS PARTICIPANTES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05"/>
      </w:tblGrid>
      <w:tr w:rsidR="00C96BD6" w:rsidRPr="00AE2184" w:rsidTr="00C756C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sz w:val="18"/>
              </w:rPr>
              <w:br w:type="page"/>
            </w:r>
            <w:r w:rsidRPr="00C756C5">
              <w:rPr>
                <w:rFonts w:asciiTheme="minorHAnsi" w:hAnsiTheme="minorHAnsi"/>
                <w:color w:val="000000"/>
                <w:sz w:val="18"/>
              </w:rPr>
              <w:t> Nº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</w:rPr>
              <w:t>ÓRGÃOS PARTICIPANTES</w:t>
            </w:r>
          </w:p>
        </w:tc>
      </w:tr>
      <w:tr w:rsidR="00C96BD6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AGENERSA</w:t>
            </w:r>
          </w:p>
        </w:tc>
      </w:tr>
      <w:tr w:rsidR="00C96BD6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CEPERJ</w:t>
            </w:r>
          </w:p>
        </w:tc>
      </w:tr>
      <w:tr w:rsidR="00C96BD6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CONTROLADORIA GERAL DO ESTADO</w:t>
            </w:r>
          </w:p>
        </w:tc>
      </w:tr>
      <w:tr w:rsidR="00C96BD6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DEGASE</w:t>
            </w:r>
          </w:p>
        </w:tc>
      </w:tr>
      <w:tr w:rsidR="00C96BD6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DETRAN</w:t>
            </w:r>
          </w:p>
        </w:tc>
      </w:tr>
      <w:tr w:rsidR="00C96BD6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FAETEC</w:t>
            </w:r>
          </w:p>
        </w:tc>
      </w:tr>
      <w:tr w:rsidR="00C96BD6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96BD6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6" w:rsidRPr="00C756C5" w:rsidRDefault="00C8346B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FAPERJ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AF516D" w:rsidRDefault="00C8346B" w:rsidP="00055E8A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AF516D">
              <w:rPr>
                <w:rFonts w:asciiTheme="minorHAnsi" w:hAnsiTheme="minorHAnsi"/>
                <w:b/>
                <w:sz w:val="18"/>
                <w:szCs w:val="24"/>
              </w:rPr>
              <w:t>FUNDAÇÃO SAÚDE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FUNDAÇÃO THEATRO MUNICIPAL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INEA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JUCERJA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LOTERJ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PROCON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PRODERJ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RIOPREVIDÊNCIA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RJPREV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DA CASA CIVIL E GOVERNANÇA - SECCG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ADMINISTRAÇÃO PENINTENCIÁRIA - SEAP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CULTURA E ECONOMIA CRIATIVA – SECEC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lastRenderedPageBreak/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CIDADES – SECID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C834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AGRICULTURA, PECUÁRIA, PESCA E ABASTECIMENTO – SEAPEC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AMBIENTE E SUSTENTABILIDADE – SEAS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CIÊNCIA, TECNOLOGIA E INOVAÇÃO – SECTI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SAÚDE – SES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TRANSPORTES – SETRANS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TURISMO – SETUR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DESENVOLVIMENTO ECONÔMICO E GERAÇÃO DE EMPREGO E RENDA - SEDEGER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EDUCAÇÃO – SEEDUC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C834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ESPORTE, LAZER E JUVENTUDE – SEELJE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FAZENDA – SEFAZ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GOVERNO – SEGOV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DESENVOLVIMENTO SOCIAL E DIREITOS HUMANOS – SEDSOH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SECRETARIA DE INFRAESTRUTURA E OBRAS – SEINFRA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SUBSECRETARIA DE COMUNICAÇÃO SOCIAL DA CASA CIVIL E GOVERNANÇA - SSCS</w:t>
            </w:r>
          </w:p>
        </w:tc>
      </w:tr>
      <w:tr w:rsidR="00C8346B" w:rsidRPr="00AE2184" w:rsidTr="00C756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055E8A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C756C5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6B" w:rsidRPr="00C756C5" w:rsidRDefault="00C8346B" w:rsidP="00C96BD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4"/>
              </w:rPr>
            </w:pPr>
            <w:r w:rsidRPr="00C756C5">
              <w:rPr>
                <w:rFonts w:asciiTheme="minorHAnsi" w:hAnsiTheme="minorHAnsi"/>
                <w:b/>
                <w:color w:val="000000"/>
                <w:sz w:val="18"/>
                <w:szCs w:val="24"/>
              </w:rPr>
              <w:t>UERJ</w:t>
            </w:r>
          </w:p>
        </w:tc>
      </w:tr>
    </w:tbl>
    <w:p w:rsidR="00C96BD6" w:rsidRDefault="00C96BD6">
      <w:pPr>
        <w:spacing w:before="0" w:after="0" w:line="240" w:lineRule="auto"/>
        <w:jc w:val="left"/>
      </w:pPr>
    </w:p>
    <w:p w:rsidR="00C96BD6" w:rsidRDefault="00C96BD6">
      <w:pPr>
        <w:spacing w:before="0" w:after="0" w:line="240" w:lineRule="auto"/>
        <w:jc w:val="left"/>
      </w:pPr>
      <w:r>
        <w:br w:type="page"/>
      </w:r>
    </w:p>
    <w:p w:rsidR="00E81301" w:rsidRDefault="008B6D94" w:rsidP="00EA7E7E">
      <w:pPr>
        <w:pStyle w:val="Ttulo1"/>
        <w:numPr>
          <w:ilvl w:val="0"/>
          <w:numId w:val="0"/>
        </w:numPr>
        <w:ind w:left="720"/>
        <w:jc w:val="center"/>
      </w:pPr>
      <w:r>
        <w:lastRenderedPageBreak/>
        <w:t>ANEXO B: ACORDO DE NÍVEIS DE SERVIÇO</w:t>
      </w:r>
    </w:p>
    <w:p w:rsidR="008B6D94" w:rsidRDefault="008B6D94" w:rsidP="00316911">
      <w:pPr>
        <w:spacing w:before="0"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7963" w:rsidTr="00107B3C">
        <w:trPr>
          <w:trHeight w:val="575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8C13A6" w:rsidRDefault="008C13A6" w:rsidP="007E79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E7963" w:rsidRDefault="007E7963" w:rsidP="007E79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</w:t>
            </w:r>
            <w:r w:rsidR="00107B3C">
              <w:rPr>
                <w:b/>
                <w:bCs/>
                <w:sz w:val="20"/>
                <w:szCs w:val="20"/>
              </w:rPr>
              <w:t xml:space="preserve"> N° 01 – DESEMPENHO POR </w:t>
            </w:r>
            <w:r w:rsidR="00663F84">
              <w:rPr>
                <w:b/>
                <w:bCs/>
                <w:sz w:val="20"/>
                <w:szCs w:val="20"/>
              </w:rPr>
              <w:t xml:space="preserve">SOLICITAÇÃO DE </w:t>
            </w:r>
            <w:r w:rsidR="00107B3C">
              <w:rPr>
                <w:b/>
                <w:bCs/>
                <w:sz w:val="20"/>
                <w:szCs w:val="20"/>
              </w:rPr>
              <w:t>VIAGEM</w:t>
            </w:r>
          </w:p>
        </w:tc>
      </w:tr>
      <w:tr w:rsidR="007E7963" w:rsidTr="007E7963">
        <w:tc>
          <w:tcPr>
            <w:tcW w:w="4606" w:type="dxa"/>
            <w:shd w:val="clear" w:color="auto" w:fill="D9D9D9" w:themeFill="background1" w:themeFillShade="D9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</w:t>
            </w:r>
          </w:p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Descrição </w:t>
            </w:r>
          </w:p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E7963" w:rsidTr="007E7963">
        <w:tc>
          <w:tcPr>
            <w:tcW w:w="4606" w:type="dxa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Finalidade </w:t>
            </w:r>
          </w:p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7E7963" w:rsidP="00663F84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Garantir </w:t>
            </w:r>
            <w:r w:rsidR="00107B3C">
              <w:rPr>
                <w:sz w:val="20"/>
                <w:szCs w:val="20"/>
              </w:rPr>
              <w:t xml:space="preserve">eficácia e </w:t>
            </w:r>
            <w:r>
              <w:rPr>
                <w:sz w:val="20"/>
                <w:szCs w:val="20"/>
              </w:rPr>
              <w:t xml:space="preserve">agilidade </w:t>
            </w:r>
            <w:r w:rsidR="00107B3C">
              <w:rPr>
                <w:sz w:val="20"/>
                <w:szCs w:val="20"/>
              </w:rPr>
              <w:t xml:space="preserve">na </w:t>
            </w:r>
            <w:r w:rsidR="00663F84">
              <w:rPr>
                <w:sz w:val="20"/>
                <w:szCs w:val="20"/>
              </w:rPr>
              <w:t xml:space="preserve">solicitação </w:t>
            </w:r>
            <w:r w:rsidR="00107B3C">
              <w:rPr>
                <w:sz w:val="20"/>
                <w:szCs w:val="20"/>
              </w:rPr>
              <w:t>das viagens</w:t>
            </w:r>
            <w:r w:rsidR="00663F84">
              <w:rPr>
                <w:sz w:val="20"/>
                <w:szCs w:val="20"/>
              </w:rPr>
              <w:t>.</w:t>
            </w:r>
            <w:r w:rsidR="00107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7963" w:rsidTr="007E7963">
        <w:tc>
          <w:tcPr>
            <w:tcW w:w="4606" w:type="dxa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 a cumprir </w:t>
            </w:r>
          </w:p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663F84" w:rsidP="007E7963">
            <w:pPr>
              <w:pStyle w:val="Default"/>
              <w:jc w:val="both"/>
            </w:pPr>
            <w:r>
              <w:rPr>
                <w:sz w:val="20"/>
                <w:szCs w:val="20"/>
              </w:rPr>
              <w:t>15 (quinze) minutos de espera ou menos</w:t>
            </w:r>
            <w:r w:rsidR="007E7963">
              <w:rPr>
                <w:sz w:val="20"/>
                <w:szCs w:val="20"/>
              </w:rPr>
              <w:t xml:space="preserve">. </w:t>
            </w:r>
          </w:p>
        </w:tc>
      </w:tr>
      <w:tr w:rsidR="007E7963" w:rsidTr="007E7963">
        <w:tc>
          <w:tcPr>
            <w:tcW w:w="4606" w:type="dxa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Instrumento de medição </w:t>
            </w:r>
          </w:p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7E7963" w:rsidP="008C13A6">
            <w:pPr>
              <w:pStyle w:val="Default"/>
              <w:jc w:val="both"/>
            </w:pPr>
            <w:r>
              <w:rPr>
                <w:sz w:val="20"/>
                <w:szCs w:val="20"/>
              </w:rPr>
              <w:t>Sistema</w:t>
            </w:r>
            <w:r w:rsidR="00663F84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="00663F84" w:rsidRPr="00663F84">
              <w:rPr>
                <w:sz w:val="20"/>
                <w:szCs w:val="20"/>
              </w:rPr>
              <w:t xml:space="preserve">Intermediação e Gerenciamento de Transporte </w:t>
            </w:r>
            <w:r w:rsidR="008C13A6">
              <w:rPr>
                <w:sz w:val="20"/>
                <w:szCs w:val="20"/>
              </w:rPr>
              <w:t>Remunerado Privado I</w:t>
            </w:r>
            <w:r w:rsidR="008C13A6" w:rsidRPr="008C13A6">
              <w:rPr>
                <w:sz w:val="20"/>
                <w:szCs w:val="20"/>
              </w:rPr>
              <w:t>ndividual</w:t>
            </w:r>
            <w:r w:rsidR="008C13A6">
              <w:rPr>
                <w:sz w:val="20"/>
                <w:szCs w:val="20"/>
              </w:rPr>
              <w:t>.</w:t>
            </w:r>
          </w:p>
        </w:tc>
      </w:tr>
      <w:tr w:rsidR="007E7963" w:rsidTr="007E7963">
        <w:tc>
          <w:tcPr>
            <w:tcW w:w="4606" w:type="dxa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de acompanhamento. </w:t>
            </w:r>
          </w:p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7E7963" w:rsidP="00663F84">
            <w:pPr>
              <w:pStyle w:val="Default"/>
              <w:jc w:val="both"/>
            </w:pPr>
            <w:r>
              <w:rPr>
                <w:sz w:val="20"/>
                <w:szCs w:val="20"/>
              </w:rPr>
              <w:t>Verificação por meio de relatórios extraídos do Sistema</w:t>
            </w:r>
            <w:r w:rsidR="00663F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7963" w:rsidTr="007E7963">
        <w:tc>
          <w:tcPr>
            <w:tcW w:w="4606" w:type="dxa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Periodicidade </w:t>
            </w:r>
          </w:p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663F84" w:rsidP="007E7963">
            <w:pPr>
              <w:pStyle w:val="Default"/>
              <w:jc w:val="both"/>
            </w:pPr>
            <w:r>
              <w:rPr>
                <w:sz w:val="20"/>
                <w:szCs w:val="20"/>
              </w:rPr>
              <w:t>Por Viagem Solicitada</w:t>
            </w:r>
            <w:r w:rsidR="007E7963">
              <w:rPr>
                <w:sz w:val="20"/>
                <w:szCs w:val="20"/>
              </w:rPr>
              <w:t>.</w:t>
            </w:r>
          </w:p>
        </w:tc>
      </w:tr>
      <w:tr w:rsidR="007E7963" w:rsidTr="007E7963">
        <w:tc>
          <w:tcPr>
            <w:tcW w:w="4606" w:type="dxa"/>
            <w:vMerge w:val="restart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Faixas de ajuste no pagamento </w:t>
            </w:r>
          </w:p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086FA8" w:rsidP="00663F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Padrão A: </w:t>
            </w:r>
            <w:r w:rsidR="00663F84">
              <w:rPr>
                <w:sz w:val="20"/>
                <w:szCs w:val="20"/>
              </w:rPr>
              <w:t>Espera de até 15 (quinze) minutos</w:t>
            </w:r>
            <w:r w:rsidR="007E7963">
              <w:rPr>
                <w:sz w:val="20"/>
                <w:szCs w:val="20"/>
              </w:rPr>
              <w:t xml:space="preserve">: </w:t>
            </w:r>
            <w:r w:rsidR="00663F84">
              <w:rPr>
                <w:sz w:val="20"/>
                <w:szCs w:val="20"/>
              </w:rPr>
              <w:t>paga-se 100% do valor da viagem.</w:t>
            </w:r>
          </w:p>
          <w:p w:rsidR="00663F84" w:rsidRDefault="00663F84" w:rsidP="00663F84">
            <w:pPr>
              <w:pStyle w:val="Default"/>
              <w:jc w:val="both"/>
            </w:pPr>
          </w:p>
        </w:tc>
      </w:tr>
      <w:tr w:rsidR="007E7963" w:rsidTr="007E7963">
        <w:tc>
          <w:tcPr>
            <w:tcW w:w="4606" w:type="dxa"/>
            <w:vMerge/>
          </w:tcPr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086FA8" w:rsidP="00663F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Padrão B: </w:t>
            </w:r>
            <w:r w:rsidR="00663F84">
              <w:rPr>
                <w:sz w:val="20"/>
                <w:szCs w:val="20"/>
              </w:rPr>
              <w:t>Espera acima de 15 (quinze) minutos e abaixo de 20 (vinte) minutos: paga-se 95% do valor da viagem.</w:t>
            </w:r>
          </w:p>
          <w:p w:rsidR="00663F84" w:rsidRDefault="00663F84" w:rsidP="00663F84">
            <w:pPr>
              <w:pStyle w:val="Default"/>
              <w:jc w:val="both"/>
            </w:pPr>
          </w:p>
        </w:tc>
      </w:tr>
      <w:tr w:rsidR="00663F84" w:rsidTr="00055E8A">
        <w:trPr>
          <w:trHeight w:val="1022"/>
        </w:trPr>
        <w:tc>
          <w:tcPr>
            <w:tcW w:w="4606" w:type="dxa"/>
            <w:vMerge/>
          </w:tcPr>
          <w:p w:rsidR="00663F84" w:rsidRDefault="00663F84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663F84" w:rsidRDefault="00086FA8" w:rsidP="00663F84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Padrão C: </w:t>
            </w:r>
            <w:r w:rsidR="00663F84">
              <w:rPr>
                <w:sz w:val="20"/>
                <w:szCs w:val="20"/>
              </w:rPr>
              <w:t>Espera acima de 20 (vinte) minutos: paga-se 90% do valor da viagem.</w:t>
            </w:r>
          </w:p>
        </w:tc>
      </w:tr>
      <w:tr w:rsidR="007E7963" w:rsidTr="007E7963">
        <w:tc>
          <w:tcPr>
            <w:tcW w:w="4606" w:type="dxa"/>
          </w:tcPr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 </w:t>
            </w:r>
          </w:p>
          <w:p w:rsidR="007E7963" w:rsidRDefault="007E7963" w:rsidP="008B6D94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7E7963" w:rsidRDefault="00432ED6" w:rsidP="007E7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caso de calamidade pública ou desastre natural ficam suspensas as disposições deste indicador.</w:t>
            </w:r>
          </w:p>
          <w:p w:rsidR="007E7963" w:rsidRDefault="007E7963" w:rsidP="007E796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107B3C" w:rsidRDefault="00107B3C" w:rsidP="008B6D94">
      <w:pPr>
        <w:spacing w:before="0" w:after="0" w:line="240" w:lineRule="auto"/>
      </w:pPr>
    </w:p>
    <w:p w:rsidR="00107B3C" w:rsidRDefault="00107B3C">
      <w:pPr>
        <w:spacing w:before="0" w:after="0" w:line="240" w:lineRule="auto"/>
        <w:jc w:val="left"/>
      </w:pPr>
      <w:r>
        <w:br w:type="page"/>
      </w:r>
    </w:p>
    <w:p w:rsidR="00361B2A" w:rsidRDefault="00361B2A">
      <w:pPr>
        <w:spacing w:before="0" w:after="0" w:line="240" w:lineRule="auto"/>
        <w:jc w:val="left"/>
      </w:pPr>
    </w:p>
    <w:p w:rsidR="00361B2A" w:rsidRDefault="00361B2A">
      <w:pPr>
        <w:spacing w:before="0" w:after="0" w:line="240" w:lineRule="aut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1C8F" w:rsidRPr="00601C8F" w:rsidTr="00055E8A">
        <w:tc>
          <w:tcPr>
            <w:tcW w:w="9212" w:type="dxa"/>
            <w:gridSpan w:val="2"/>
            <w:shd w:val="clear" w:color="auto" w:fill="D9D9D9" w:themeFill="background1" w:themeFillShade="D9"/>
          </w:tcPr>
          <w:p w:rsidR="008C13A6" w:rsidRDefault="008C13A6" w:rsidP="00361B2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07B3C" w:rsidRDefault="00107B3C" w:rsidP="00361B2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13A6">
              <w:rPr>
                <w:b/>
                <w:bCs/>
                <w:sz w:val="20"/>
                <w:szCs w:val="20"/>
              </w:rPr>
              <w:t>INDICADOR</w:t>
            </w:r>
            <w:r w:rsidR="00086FA8" w:rsidRPr="008C13A6">
              <w:rPr>
                <w:b/>
                <w:bCs/>
                <w:sz w:val="20"/>
                <w:szCs w:val="20"/>
              </w:rPr>
              <w:t xml:space="preserve"> N° 02 – </w:t>
            </w:r>
            <w:r w:rsidR="00361B2A" w:rsidRPr="008C13A6">
              <w:rPr>
                <w:b/>
                <w:bCs/>
                <w:sz w:val="20"/>
                <w:szCs w:val="20"/>
              </w:rPr>
              <w:t>DISPONIBILIDADE DA APLICAÇÃO WEB</w:t>
            </w:r>
          </w:p>
          <w:p w:rsidR="008C13A6" w:rsidRPr="00601C8F" w:rsidRDefault="008C13A6" w:rsidP="00361B2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1C8F" w:rsidRPr="00601C8F" w:rsidTr="00055E8A">
        <w:tc>
          <w:tcPr>
            <w:tcW w:w="4606" w:type="dxa"/>
            <w:shd w:val="clear" w:color="auto" w:fill="D9D9D9" w:themeFill="background1" w:themeFillShade="D9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 xml:space="preserve">Item </w:t>
            </w:r>
          </w:p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 xml:space="preserve">Descrição </w:t>
            </w:r>
          </w:p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01C8F" w:rsidRPr="00601C8F" w:rsidTr="00055E8A">
        <w:tc>
          <w:tcPr>
            <w:tcW w:w="4606" w:type="dxa"/>
          </w:tcPr>
          <w:p w:rsidR="00086FA8" w:rsidRPr="00601C8F" w:rsidRDefault="00086FA8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Finalidade </w:t>
            </w:r>
          </w:p>
          <w:p w:rsidR="00086FA8" w:rsidRPr="00601C8F" w:rsidRDefault="00086FA8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086FA8" w:rsidRPr="00601C8F" w:rsidRDefault="00361B2A" w:rsidP="005A001D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Garantir o funcionamento</w:t>
            </w:r>
            <w:r w:rsidR="005A001D" w:rsidRPr="00601C8F">
              <w:rPr>
                <w:color w:val="auto"/>
                <w:sz w:val="20"/>
                <w:szCs w:val="20"/>
              </w:rPr>
              <w:t xml:space="preserve"> do serviço </w:t>
            </w:r>
            <w:r w:rsidR="00B7098A" w:rsidRPr="00601C8F">
              <w:rPr>
                <w:color w:val="auto"/>
                <w:sz w:val="20"/>
                <w:szCs w:val="20"/>
              </w:rPr>
              <w:t>24 horas por dia e 7 dias por semana</w:t>
            </w:r>
            <w:r w:rsidR="00E90401" w:rsidRPr="00601C8F">
              <w:rPr>
                <w:color w:val="auto"/>
                <w:sz w:val="20"/>
                <w:szCs w:val="20"/>
              </w:rPr>
              <w:t>.</w:t>
            </w:r>
          </w:p>
        </w:tc>
      </w:tr>
      <w:tr w:rsidR="00601C8F" w:rsidRPr="00601C8F" w:rsidTr="00055E8A">
        <w:tc>
          <w:tcPr>
            <w:tcW w:w="4606" w:type="dxa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Meta a cumprir </w:t>
            </w:r>
          </w:p>
          <w:p w:rsidR="00107B3C" w:rsidRPr="00601C8F" w:rsidRDefault="00107B3C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107B3C" w:rsidRPr="00601C8F" w:rsidRDefault="00B7098A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Disponibilidade </w:t>
            </w:r>
            <w:r w:rsidR="00E90401" w:rsidRPr="00601C8F">
              <w:rPr>
                <w:color w:val="auto"/>
                <w:sz w:val="20"/>
                <w:szCs w:val="20"/>
              </w:rPr>
              <w:t>de 100</w:t>
            </w:r>
            <w:r w:rsidR="00055E8A" w:rsidRPr="00601C8F">
              <w:rPr>
                <w:color w:val="auto"/>
                <w:sz w:val="20"/>
                <w:szCs w:val="20"/>
              </w:rPr>
              <w:t>%.</w:t>
            </w:r>
          </w:p>
        </w:tc>
      </w:tr>
      <w:tr w:rsidR="00601C8F" w:rsidRPr="00601C8F" w:rsidTr="00055E8A">
        <w:tc>
          <w:tcPr>
            <w:tcW w:w="4606" w:type="dxa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Instrumento de medição </w:t>
            </w:r>
          </w:p>
          <w:p w:rsidR="00107B3C" w:rsidRPr="00601C8F" w:rsidRDefault="00107B3C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107B3C" w:rsidRPr="00601C8F" w:rsidRDefault="008C13A6" w:rsidP="00055E8A">
            <w:pPr>
              <w:pStyle w:val="Default"/>
              <w:jc w:val="both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Sistema de </w:t>
            </w:r>
            <w:r w:rsidRPr="00663F84">
              <w:rPr>
                <w:sz w:val="20"/>
                <w:szCs w:val="20"/>
              </w:rPr>
              <w:t xml:space="preserve">Intermediação e Gerenciamento de Transporte </w:t>
            </w:r>
            <w:r>
              <w:rPr>
                <w:sz w:val="20"/>
                <w:szCs w:val="20"/>
              </w:rPr>
              <w:t>Remunerado Privado I</w:t>
            </w:r>
            <w:r w:rsidRPr="008C13A6">
              <w:rPr>
                <w:sz w:val="20"/>
                <w:szCs w:val="20"/>
              </w:rPr>
              <w:t>ndividual</w:t>
            </w:r>
            <w:r>
              <w:rPr>
                <w:sz w:val="20"/>
                <w:szCs w:val="20"/>
              </w:rPr>
              <w:t>.</w:t>
            </w:r>
          </w:p>
        </w:tc>
      </w:tr>
      <w:tr w:rsidR="00601C8F" w:rsidRPr="00601C8F" w:rsidTr="00055E8A">
        <w:tc>
          <w:tcPr>
            <w:tcW w:w="4606" w:type="dxa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Forma de acompanhamento. </w:t>
            </w:r>
          </w:p>
          <w:p w:rsidR="00107B3C" w:rsidRPr="00601C8F" w:rsidRDefault="00107B3C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107B3C" w:rsidRPr="00601C8F" w:rsidRDefault="00B7098A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Verificação por meio de relatórios extraídos do Sistema.</w:t>
            </w:r>
          </w:p>
        </w:tc>
      </w:tr>
      <w:tr w:rsidR="00601C8F" w:rsidRPr="00601C8F" w:rsidTr="00055E8A">
        <w:tc>
          <w:tcPr>
            <w:tcW w:w="4606" w:type="dxa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Periodicidade </w:t>
            </w:r>
          </w:p>
          <w:p w:rsidR="00107B3C" w:rsidRPr="00601C8F" w:rsidRDefault="00107B3C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Mensal</w:t>
            </w:r>
            <w:r w:rsidR="00086FA8" w:rsidRPr="00601C8F">
              <w:rPr>
                <w:color w:val="auto"/>
                <w:sz w:val="20"/>
                <w:szCs w:val="20"/>
              </w:rPr>
              <w:t>.</w:t>
            </w:r>
          </w:p>
        </w:tc>
      </w:tr>
      <w:tr w:rsidR="00601C8F" w:rsidRPr="00601C8F" w:rsidTr="00055E8A">
        <w:tc>
          <w:tcPr>
            <w:tcW w:w="4606" w:type="dxa"/>
          </w:tcPr>
          <w:p w:rsidR="00107B3C" w:rsidRPr="00601C8F" w:rsidRDefault="00107B3C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Faixas de ajuste no pagamento </w:t>
            </w:r>
          </w:p>
          <w:p w:rsidR="00107B3C" w:rsidRPr="00601C8F" w:rsidRDefault="00107B3C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>100</w:t>
            </w:r>
            <w:r w:rsidR="00B7098A" w:rsidRPr="00601C8F">
              <w:rPr>
                <w:color w:val="auto"/>
                <w:sz w:val="20"/>
                <w:szCs w:val="20"/>
              </w:rPr>
              <w:t>% do tempo</w:t>
            </w:r>
            <w:r w:rsidR="00107B3C" w:rsidRPr="00601C8F">
              <w:rPr>
                <w:color w:val="auto"/>
                <w:sz w:val="20"/>
                <w:szCs w:val="20"/>
              </w:rPr>
              <w:t>: paga-se 100% do valor do serviço</w:t>
            </w:r>
            <w:r w:rsidRPr="00601C8F">
              <w:rPr>
                <w:color w:val="auto"/>
                <w:sz w:val="20"/>
                <w:szCs w:val="20"/>
              </w:rPr>
              <w:t>.</w:t>
            </w:r>
          </w:p>
          <w:p w:rsidR="00107B3C" w:rsidRPr="00601C8F" w:rsidRDefault="00E90401" w:rsidP="00E90401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Desconto de 1% do valor do serviço por hora indisponível.</w:t>
            </w:r>
          </w:p>
        </w:tc>
      </w:tr>
    </w:tbl>
    <w:p w:rsidR="008B6D94" w:rsidRPr="00601C8F" w:rsidRDefault="008B6D94" w:rsidP="008B6D94">
      <w:pPr>
        <w:spacing w:before="0" w:after="0" w:line="240" w:lineRule="auto"/>
      </w:pPr>
    </w:p>
    <w:p w:rsidR="00E90401" w:rsidRDefault="00E90401" w:rsidP="008B6D94">
      <w:pPr>
        <w:spacing w:before="0"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1C8F" w:rsidRPr="00601C8F" w:rsidTr="00055E8A">
        <w:tc>
          <w:tcPr>
            <w:tcW w:w="9212" w:type="dxa"/>
            <w:gridSpan w:val="2"/>
            <w:shd w:val="clear" w:color="auto" w:fill="D9D9D9" w:themeFill="background1" w:themeFillShade="D9"/>
          </w:tcPr>
          <w:p w:rsidR="008C13A6" w:rsidRDefault="008C13A6" w:rsidP="00055E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90401" w:rsidRDefault="00E90401" w:rsidP="00055E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 xml:space="preserve">INDICADOR N° 03 – DISPONIBILIDADE </w:t>
            </w:r>
            <w:r w:rsidR="00055E8A" w:rsidRPr="00601C8F">
              <w:rPr>
                <w:b/>
                <w:bCs/>
                <w:color w:val="auto"/>
                <w:sz w:val="20"/>
                <w:szCs w:val="20"/>
              </w:rPr>
              <w:t>DO APLICATIVO MOBILE</w:t>
            </w:r>
          </w:p>
          <w:p w:rsidR="008C13A6" w:rsidRPr="00601C8F" w:rsidRDefault="008C13A6" w:rsidP="00055E8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1C8F" w:rsidRPr="00601C8F" w:rsidTr="00055E8A">
        <w:tc>
          <w:tcPr>
            <w:tcW w:w="4606" w:type="dxa"/>
            <w:shd w:val="clear" w:color="auto" w:fill="D9D9D9" w:themeFill="background1" w:themeFillShade="D9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 xml:space="preserve">Item </w:t>
            </w:r>
          </w:p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 xml:space="preserve">Descrição </w:t>
            </w:r>
          </w:p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01C8F" w:rsidRPr="00601C8F" w:rsidTr="00055E8A"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Finalidade </w:t>
            </w:r>
          </w:p>
          <w:p w:rsidR="00E90401" w:rsidRPr="00601C8F" w:rsidRDefault="00E90401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Garantir o funcionamento do serviço 24 horas por dia e 7 dias por semana</w:t>
            </w:r>
            <w:r w:rsidR="00055E8A" w:rsidRPr="00601C8F">
              <w:rPr>
                <w:color w:val="auto"/>
                <w:sz w:val="20"/>
                <w:szCs w:val="20"/>
              </w:rPr>
              <w:t>.</w:t>
            </w:r>
          </w:p>
        </w:tc>
      </w:tr>
      <w:tr w:rsidR="00601C8F" w:rsidRPr="00601C8F" w:rsidTr="00055E8A"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Meta a cumprir </w:t>
            </w:r>
          </w:p>
          <w:p w:rsidR="00E90401" w:rsidRPr="00601C8F" w:rsidRDefault="00E90401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Disponibilidade de 100</w:t>
            </w:r>
            <w:r w:rsidR="00055E8A" w:rsidRPr="00601C8F">
              <w:rPr>
                <w:color w:val="auto"/>
                <w:sz w:val="20"/>
                <w:szCs w:val="20"/>
              </w:rPr>
              <w:t>%.</w:t>
            </w:r>
          </w:p>
        </w:tc>
      </w:tr>
      <w:tr w:rsidR="00601C8F" w:rsidRPr="00601C8F" w:rsidTr="00055E8A"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Instrumento de medição </w:t>
            </w:r>
          </w:p>
          <w:p w:rsidR="00E90401" w:rsidRPr="00601C8F" w:rsidRDefault="00E90401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E90401" w:rsidRPr="00601C8F" w:rsidRDefault="008C13A6" w:rsidP="00055E8A">
            <w:pPr>
              <w:pStyle w:val="Default"/>
              <w:jc w:val="both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Sistema de </w:t>
            </w:r>
            <w:r w:rsidRPr="00663F84">
              <w:rPr>
                <w:sz w:val="20"/>
                <w:szCs w:val="20"/>
              </w:rPr>
              <w:t xml:space="preserve">Intermediação e Gerenciamento de Transporte </w:t>
            </w:r>
            <w:r>
              <w:rPr>
                <w:sz w:val="20"/>
                <w:szCs w:val="20"/>
              </w:rPr>
              <w:t>Remunerado Privado I</w:t>
            </w:r>
            <w:r w:rsidRPr="008C13A6">
              <w:rPr>
                <w:sz w:val="20"/>
                <w:szCs w:val="20"/>
              </w:rPr>
              <w:t>ndividual</w:t>
            </w:r>
            <w:r>
              <w:rPr>
                <w:sz w:val="20"/>
                <w:szCs w:val="20"/>
              </w:rPr>
              <w:t>.</w:t>
            </w:r>
          </w:p>
        </w:tc>
      </w:tr>
      <w:tr w:rsidR="00601C8F" w:rsidRPr="00601C8F" w:rsidTr="00055E8A"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Forma de acompanhamento. </w:t>
            </w:r>
          </w:p>
          <w:p w:rsidR="00E90401" w:rsidRPr="00601C8F" w:rsidRDefault="00E90401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Verificação por meio de relatórios extraídos do Sistema.</w:t>
            </w:r>
          </w:p>
        </w:tc>
      </w:tr>
      <w:tr w:rsidR="00601C8F" w:rsidRPr="00601C8F" w:rsidTr="00055E8A"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Periodicidade </w:t>
            </w:r>
          </w:p>
          <w:p w:rsidR="00E90401" w:rsidRPr="00601C8F" w:rsidRDefault="00E90401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Mensal.</w:t>
            </w:r>
          </w:p>
        </w:tc>
      </w:tr>
      <w:tr w:rsidR="00601C8F" w:rsidRPr="00601C8F" w:rsidTr="00055E8A"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Faixas de ajuste no pagamento </w:t>
            </w:r>
          </w:p>
          <w:p w:rsidR="00E90401" w:rsidRPr="00601C8F" w:rsidRDefault="00E90401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E90401" w:rsidRPr="00601C8F" w:rsidRDefault="00E90401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>100% do tempo: paga-se 100% do valor do serviço.</w:t>
            </w:r>
          </w:p>
          <w:p w:rsidR="00E90401" w:rsidRPr="00601C8F" w:rsidRDefault="00E90401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Desconto de 1% do valor do serviço por hora indisponível.</w:t>
            </w:r>
          </w:p>
        </w:tc>
      </w:tr>
    </w:tbl>
    <w:p w:rsidR="00E90401" w:rsidRPr="00601C8F" w:rsidRDefault="00E90401" w:rsidP="008B6D94">
      <w:pPr>
        <w:spacing w:before="0" w:after="0" w:line="240" w:lineRule="auto"/>
      </w:pPr>
    </w:p>
    <w:p w:rsidR="00055E8A" w:rsidRDefault="00055E8A" w:rsidP="008B6D94">
      <w:pPr>
        <w:spacing w:before="0" w:after="0" w:line="240" w:lineRule="auto"/>
      </w:pPr>
    </w:p>
    <w:p w:rsidR="008C13A6" w:rsidRDefault="008C13A6" w:rsidP="008B6D94">
      <w:pPr>
        <w:spacing w:before="0" w:after="0" w:line="240" w:lineRule="auto"/>
      </w:pPr>
    </w:p>
    <w:p w:rsidR="008C13A6" w:rsidRDefault="008C13A6" w:rsidP="008B6D94">
      <w:pPr>
        <w:spacing w:before="0" w:after="0" w:line="240" w:lineRule="auto"/>
      </w:pPr>
    </w:p>
    <w:p w:rsidR="008C13A6" w:rsidRDefault="008C13A6" w:rsidP="008B6D94">
      <w:pPr>
        <w:spacing w:before="0" w:after="0" w:line="240" w:lineRule="auto"/>
      </w:pPr>
    </w:p>
    <w:p w:rsidR="008C13A6" w:rsidRDefault="008C13A6" w:rsidP="008B6D94">
      <w:pPr>
        <w:spacing w:before="0" w:after="0" w:line="240" w:lineRule="auto"/>
      </w:pPr>
    </w:p>
    <w:p w:rsidR="008C13A6" w:rsidRDefault="008C13A6" w:rsidP="008B6D94">
      <w:pPr>
        <w:spacing w:before="0" w:after="0" w:line="240" w:lineRule="auto"/>
      </w:pPr>
    </w:p>
    <w:p w:rsidR="008C13A6" w:rsidRPr="00601C8F" w:rsidRDefault="008C13A6" w:rsidP="008B6D94">
      <w:pPr>
        <w:spacing w:before="0"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1C8F" w:rsidRPr="00601C8F" w:rsidTr="00055E8A">
        <w:tc>
          <w:tcPr>
            <w:tcW w:w="9212" w:type="dxa"/>
            <w:gridSpan w:val="2"/>
            <w:shd w:val="clear" w:color="auto" w:fill="D9D9D9" w:themeFill="background1" w:themeFillShade="D9"/>
          </w:tcPr>
          <w:p w:rsidR="008C13A6" w:rsidRDefault="008C13A6" w:rsidP="00055E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055E8A" w:rsidRDefault="00055E8A" w:rsidP="00055E8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>INDICADOR N° 04 – DISPONIBILIDADE DA CENTRAL DE ATENDIMENTO</w:t>
            </w:r>
          </w:p>
          <w:p w:rsidR="008C13A6" w:rsidRPr="00601C8F" w:rsidRDefault="008C13A6" w:rsidP="00055E8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1C8F" w:rsidRPr="00601C8F" w:rsidTr="00055E8A">
        <w:tc>
          <w:tcPr>
            <w:tcW w:w="4606" w:type="dxa"/>
            <w:shd w:val="clear" w:color="auto" w:fill="D9D9D9" w:themeFill="background1" w:themeFillShade="D9"/>
          </w:tcPr>
          <w:p w:rsidR="00055E8A" w:rsidRPr="00601C8F" w:rsidRDefault="00055E8A" w:rsidP="008C1D95">
            <w:pPr>
              <w:pStyle w:val="Default"/>
              <w:rPr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 xml:space="preserve">Item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b/>
                <w:bCs/>
                <w:color w:val="auto"/>
                <w:sz w:val="20"/>
                <w:szCs w:val="20"/>
              </w:rPr>
              <w:t xml:space="preserve">Descrição </w:t>
            </w:r>
          </w:p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01C8F" w:rsidRPr="00601C8F" w:rsidTr="00055E8A"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Finalidade </w:t>
            </w:r>
          </w:p>
          <w:p w:rsidR="00055E8A" w:rsidRPr="00601C8F" w:rsidRDefault="00055E8A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Disponibilidade ininterrupta da Central de Atendimento. </w:t>
            </w:r>
          </w:p>
        </w:tc>
      </w:tr>
      <w:tr w:rsidR="00601C8F" w:rsidRPr="00601C8F" w:rsidTr="00055E8A"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Meta a cumprir </w:t>
            </w:r>
          </w:p>
          <w:p w:rsidR="00055E8A" w:rsidRPr="00601C8F" w:rsidRDefault="00055E8A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Disponibilidade de 100%.</w:t>
            </w:r>
          </w:p>
        </w:tc>
      </w:tr>
      <w:tr w:rsidR="00601C8F" w:rsidRPr="00601C8F" w:rsidTr="00055E8A"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Instrumento de medição </w:t>
            </w:r>
          </w:p>
          <w:p w:rsidR="00055E8A" w:rsidRPr="00601C8F" w:rsidRDefault="00055E8A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055E8A" w:rsidRPr="00601C8F" w:rsidRDefault="008C13A6" w:rsidP="00055E8A">
            <w:pPr>
              <w:pStyle w:val="Default"/>
              <w:jc w:val="both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Sistema de </w:t>
            </w:r>
            <w:r w:rsidRPr="00663F84">
              <w:rPr>
                <w:sz w:val="20"/>
                <w:szCs w:val="20"/>
              </w:rPr>
              <w:t xml:space="preserve">Intermediação e Gerenciamento de Transporte </w:t>
            </w:r>
            <w:r>
              <w:rPr>
                <w:sz w:val="20"/>
                <w:szCs w:val="20"/>
              </w:rPr>
              <w:t>Remunerado Privado I</w:t>
            </w:r>
            <w:r w:rsidRPr="008C13A6">
              <w:rPr>
                <w:sz w:val="20"/>
                <w:szCs w:val="20"/>
              </w:rPr>
              <w:t>ndividual</w:t>
            </w:r>
            <w:r>
              <w:rPr>
                <w:sz w:val="20"/>
                <w:szCs w:val="20"/>
              </w:rPr>
              <w:t>.</w:t>
            </w:r>
          </w:p>
        </w:tc>
      </w:tr>
      <w:tr w:rsidR="00601C8F" w:rsidRPr="00601C8F" w:rsidTr="00055E8A"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Forma de acompanhamento. </w:t>
            </w:r>
          </w:p>
          <w:p w:rsidR="00055E8A" w:rsidRPr="00601C8F" w:rsidRDefault="00055E8A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Verificação por meio de relatórios extraídos do Sistema.</w:t>
            </w:r>
          </w:p>
        </w:tc>
      </w:tr>
      <w:tr w:rsidR="00601C8F" w:rsidRPr="00601C8F" w:rsidTr="00055E8A"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Periodicidade </w:t>
            </w:r>
          </w:p>
          <w:p w:rsidR="00055E8A" w:rsidRPr="00601C8F" w:rsidRDefault="00055E8A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Mensal.</w:t>
            </w:r>
          </w:p>
        </w:tc>
      </w:tr>
      <w:tr w:rsidR="00601C8F" w:rsidRPr="00601C8F" w:rsidTr="00055E8A"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 xml:space="preserve">Faixas de ajuste no pagamento </w:t>
            </w:r>
          </w:p>
          <w:p w:rsidR="00055E8A" w:rsidRPr="00601C8F" w:rsidRDefault="00055E8A" w:rsidP="00055E8A">
            <w:pPr>
              <w:spacing w:before="0" w:after="0" w:line="240" w:lineRule="auto"/>
            </w:pPr>
          </w:p>
        </w:tc>
        <w:tc>
          <w:tcPr>
            <w:tcW w:w="4606" w:type="dxa"/>
          </w:tcPr>
          <w:p w:rsidR="00055E8A" w:rsidRPr="00601C8F" w:rsidRDefault="00055E8A" w:rsidP="00055E8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1C8F">
              <w:rPr>
                <w:color w:val="auto"/>
                <w:sz w:val="20"/>
                <w:szCs w:val="20"/>
              </w:rPr>
              <w:t>100% do tempo: paga-se 100% do valor do serviço.</w:t>
            </w:r>
          </w:p>
          <w:p w:rsidR="00055E8A" w:rsidRPr="00601C8F" w:rsidRDefault="00055E8A" w:rsidP="00055E8A">
            <w:pPr>
              <w:pStyle w:val="Default"/>
              <w:jc w:val="both"/>
              <w:rPr>
                <w:color w:val="auto"/>
              </w:rPr>
            </w:pPr>
            <w:r w:rsidRPr="00601C8F">
              <w:rPr>
                <w:color w:val="auto"/>
                <w:sz w:val="20"/>
                <w:szCs w:val="20"/>
              </w:rPr>
              <w:t>Desconto de 1% do valor do serviço por hora indisponível.</w:t>
            </w:r>
          </w:p>
        </w:tc>
      </w:tr>
    </w:tbl>
    <w:p w:rsidR="00055E8A" w:rsidRPr="00601C8F" w:rsidRDefault="00055E8A" w:rsidP="008B6D94">
      <w:pPr>
        <w:spacing w:before="0" w:after="0" w:line="240" w:lineRule="auto"/>
      </w:pPr>
    </w:p>
    <w:p w:rsidR="00E90401" w:rsidRDefault="00E90401" w:rsidP="008B6D94">
      <w:pPr>
        <w:spacing w:before="0" w:after="0" w:line="240" w:lineRule="auto"/>
      </w:pPr>
    </w:p>
    <w:p w:rsidR="00BD018A" w:rsidRDefault="00BD018A" w:rsidP="008B6D94">
      <w:pPr>
        <w:spacing w:before="0" w:after="0" w:line="240" w:lineRule="auto"/>
      </w:pPr>
    </w:p>
    <w:p w:rsidR="00BD018A" w:rsidRDefault="00BD018A" w:rsidP="008B6D94">
      <w:pPr>
        <w:spacing w:before="0" w:after="0" w:line="240" w:lineRule="auto"/>
      </w:pPr>
    </w:p>
    <w:sectPr w:rsidR="00BD018A" w:rsidSect="006344A6">
      <w:headerReference w:type="default" r:id="rId8"/>
      <w:pgSz w:w="11906" w:h="16838"/>
      <w:pgMar w:top="1278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A7" w:rsidRDefault="00CD7BA7" w:rsidP="00844D0D">
      <w:pPr>
        <w:spacing w:before="0" w:after="0" w:line="240" w:lineRule="auto"/>
      </w:pPr>
      <w:r>
        <w:separator/>
      </w:r>
    </w:p>
  </w:endnote>
  <w:endnote w:type="continuationSeparator" w:id="0">
    <w:p w:rsidR="00CD7BA7" w:rsidRDefault="00CD7BA7" w:rsidP="00844D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A7" w:rsidRDefault="00CD7BA7" w:rsidP="00844D0D">
      <w:pPr>
        <w:spacing w:before="0" w:after="0" w:line="240" w:lineRule="auto"/>
      </w:pPr>
      <w:r>
        <w:separator/>
      </w:r>
    </w:p>
  </w:footnote>
  <w:footnote w:type="continuationSeparator" w:id="0">
    <w:p w:rsidR="00CD7BA7" w:rsidRDefault="00CD7BA7" w:rsidP="00844D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A" w:rsidRDefault="00BF3D6A" w:rsidP="00844D0D">
    <w:pPr>
      <w:pStyle w:val="Cabealho"/>
      <w:jc w:val="center"/>
      <w:rPr>
        <w:sz w:val="18"/>
      </w:rPr>
    </w:pPr>
    <w:r>
      <w:rPr>
        <w:noProof/>
        <w:lang w:eastAsia="pt-BR"/>
      </w:rPr>
      <w:drawing>
        <wp:inline distT="0" distB="0" distL="0" distR="0">
          <wp:extent cx="704850" cy="847725"/>
          <wp:effectExtent l="0" t="0" r="0" b="9525"/>
          <wp:docPr id="2" name="Imagem 2" descr="Descrição: U:\Arquivos_marca_Gov_RJ\Marcas_Verticais\JPG\Marca_2D_vertical_CM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U:\Arquivos_marca_Gov_RJ\Marcas_Verticais\JPG\Marca_2D_vertical_CMK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D6A" w:rsidRDefault="00BF3D6A" w:rsidP="0041321C">
    <w:pPr>
      <w:pStyle w:val="Cabealho"/>
      <w:jc w:val="center"/>
      <w:rPr>
        <w:sz w:val="18"/>
      </w:rPr>
    </w:pPr>
    <w:r>
      <w:rPr>
        <w:sz w:val="18"/>
      </w:rPr>
      <w:t>Governo do Estado do Rio de Janeiro</w:t>
    </w:r>
  </w:p>
  <w:p w:rsidR="00BF3D6A" w:rsidRDefault="00BF3D6A" w:rsidP="006C00B0">
    <w:pPr>
      <w:pStyle w:val="Cabealho"/>
      <w:jc w:val="center"/>
      <w:rPr>
        <w:sz w:val="18"/>
      </w:rPr>
    </w:pPr>
    <w:r>
      <w:rPr>
        <w:sz w:val="18"/>
      </w:rPr>
      <w:t>Secretaria de Estado da Casa Civil e Governança</w:t>
    </w:r>
  </w:p>
  <w:p w:rsidR="00BF3D6A" w:rsidRDefault="00BF3D6A" w:rsidP="006C00B0">
    <w:pPr>
      <w:pStyle w:val="Cabealho"/>
      <w:jc w:val="center"/>
      <w:rPr>
        <w:sz w:val="18"/>
      </w:rPr>
    </w:pPr>
    <w:r>
      <w:rPr>
        <w:sz w:val="18"/>
      </w:rPr>
      <w:t>Subsecretaria de Logística</w:t>
    </w:r>
  </w:p>
  <w:p w:rsidR="00BF3D6A" w:rsidRPr="00844D0D" w:rsidRDefault="00BF3D6A" w:rsidP="00844D0D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A5EF4"/>
    <w:multiLevelType w:val="hybridMultilevel"/>
    <w:tmpl w:val="BC5CBC42"/>
    <w:lvl w:ilvl="0" w:tplc="F0A6A738">
      <w:start w:val="1"/>
      <w:numFmt w:val="lowerLetter"/>
      <w:lvlText w:val="%1)"/>
      <w:lvlJc w:val="left"/>
      <w:pPr>
        <w:ind w:left="1361" w:hanging="510"/>
      </w:pPr>
      <w:rPr>
        <w:rFonts w:hint="default"/>
      </w:rPr>
    </w:lvl>
    <w:lvl w:ilvl="1" w:tplc="F1FE536C">
      <w:start w:val="1"/>
      <w:numFmt w:val="lowerLetter"/>
      <w:lvlText w:val="%2.1"/>
      <w:lvlJc w:val="left"/>
      <w:pPr>
        <w:ind w:left="1931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293E1D"/>
    <w:multiLevelType w:val="multilevel"/>
    <w:tmpl w:val="38CEB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8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D43E5A"/>
    <w:multiLevelType w:val="multilevel"/>
    <w:tmpl w:val="6F548AD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pStyle w:val="NumeraoNormal1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pStyle w:val="NumeraodeSegundoNve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E96A11"/>
    <w:multiLevelType w:val="hybridMultilevel"/>
    <w:tmpl w:val="57966ED8"/>
    <w:lvl w:ilvl="0" w:tplc="EA764A06">
      <w:start w:val="30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7BA"/>
    <w:multiLevelType w:val="hybridMultilevel"/>
    <w:tmpl w:val="2B581A86"/>
    <w:lvl w:ilvl="0" w:tplc="58261AE6">
      <w:start w:val="1"/>
      <w:numFmt w:val="bullet"/>
      <w:pStyle w:val="ListadaApresentao"/>
      <w:lvlText w:val=""/>
      <w:lvlJc w:val="left"/>
      <w:pPr>
        <w:ind w:left="908" w:hanging="360"/>
      </w:pPr>
      <w:rPr>
        <w:rFonts w:ascii="Wingdings" w:hAnsi="Wingdings" w:hint="default"/>
      </w:rPr>
    </w:lvl>
    <w:lvl w:ilvl="1" w:tplc="620AAFEC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6D2C89B4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2A0EE93A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D5B29796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CF880E1A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4B66FEF6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ACD04F56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23A4C70A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67032215"/>
    <w:multiLevelType w:val="multilevel"/>
    <w:tmpl w:val="67B04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F0E2885"/>
    <w:multiLevelType w:val="hybridMultilevel"/>
    <w:tmpl w:val="5DDAF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3818"/>
    <w:multiLevelType w:val="hybridMultilevel"/>
    <w:tmpl w:val="53D47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F4"/>
    <w:rsid w:val="0000028F"/>
    <w:rsid w:val="00000543"/>
    <w:rsid w:val="00002F35"/>
    <w:rsid w:val="000050CF"/>
    <w:rsid w:val="000061D4"/>
    <w:rsid w:val="000066C6"/>
    <w:rsid w:val="00006AC5"/>
    <w:rsid w:val="0000756A"/>
    <w:rsid w:val="00010E89"/>
    <w:rsid w:val="00012299"/>
    <w:rsid w:val="000123C4"/>
    <w:rsid w:val="000155A9"/>
    <w:rsid w:val="00015C9B"/>
    <w:rsid w:val="00020582"/>
    <w:rsid w:val="0002077B"/>
    <w:rsid w:val="00021768"/>
    <w:rsid w:val="00023BEF"/>
    <w:rsid w:val="00023EA8"/>
    <w:rsid w:val="00025058"/>
    <w:rsid w:val="00025939"/>
    <w:rsid w:val="000262DE"/>
    <w:rsid w:val="00026990"/>
    <w:rsid w:val="0002710B"/>
    <w:rsid w:val="000303A1"/>
    <w:rsid w:val="00031835"/>
    <w:rsid w:val="000327C6"/>
    <w:rsid w:val="00032DD5"/>
    <w:rsid w:val="0003365D"/>
    <w:rsid w:val="00034065"/>
    <w:rsid w:val="00034D19"/>
    <w:rsid w:val="00035ACF"/>
    <w:rsid w:val="00035F67"/>
    <w:rsid w:val="000367D7"/>
    <w:rsid w:val="00036919"/>
    <w:rsid w:val="000370D0"/>
    <w:rsid w:val="00037564"/>
    <w:rsid w:val="0003794C"/>
    <w:rsid w:val="00037D79"/>
    <w:rsid w:val="000405B7"/>
    <w:rsid w:val="0004227E"/>
    <w:rsid w:val="00042804"/>
    <w:rsid w:val="00042C4E"/>
    <w:rsid w:val="00043D8C"/>
    <w:rsid w:val="00045817"/>
    <w:rsid w:val="00051DA6"/>
    <w:rsid w:val="00051DEC"/>
    <w:rsid w:val="000529F9"/>
    <w:rsid w:val="0005513F"/>
    <w:rsid w:val="00055E8A"/>
    <w:rsid w:val="00056854"/>
    <w:rsid w:val="00057173"/>
    <w:rsid w:val="00061986"/>
    <w:rsid w:val="00067056"/>
    <w:rsid w:val="0007154B"/>
    <w:rsid w:val="000723B3"/>
    <w:rsid w:val="00072F57"/>
    <w:rsid w:val="00073F59"/>
    <w:rsid w:val="000743D8"/>
    <w:rsid w:val="00081909"/>
    <w:rsid w:val="00082283"/>
    <w:rsid w:val="000832A5"/>
    <w:rsid w:val="00085568"/>
    <w:rsid w:val="0008611F"/>
    <w:rsid w:val="00086615"/>
    <w:rsid w:val="00086FA8"/>
    <w:rsid w:val="00087B19"/>
    <w:rsid w:val="00090181"/>
    <w:rsid w:val="00090D99"/>
    <w:rsid w:val="00091319"/>
    <w:rsid w:val="0009136C"/>
    <w:rsid w:val="00091CB1"/>
    <w:rsid w:val="00092721"/>
    <w:rsid w:val="00092A0C"/>
    <w:rsid w:val="00095EBD"/>
    <w:rsid w:val="000968BA"/>
    <w:rsid w:val="00096C82"/>
    <w:rsid w:val="00096EEE"/>
    <w:rsid w:val="000A62DF"/>
    <w:rsid w:val="000B1D09"/>
    <w:rsid w:val="000B3966"/>
    <w:rsid w:val="000B5694"/>
    <w:rsid w:val="000B5A3C"/>
    <w:rsid w:val="000B6EEA"/>
    <w:rsid w:val="000B7BD1"/>
    <w:rsid w:val="000C1152"/>
    <w:rsid w:val="000C2320"/>
    <w:rsid w:val="000C36A4"/>
    <w:rsid w:val="000C4A66"/>
    <w:rsid w:val="000D0987"/>
    <w:rsid w:val="000D0F1D"/>
    <w:rsid w:val="000D1E36"/>
    <w:rsid w:val="000D6EFA"/>
    <w:rsid w:val="000E00A6"/>
    <w:rsid w:val="000E09E0"/>
    <w:rsid w:val="000E129E"/>
    <w:rsid w:val="000E1E18"/>
    <w:rsid w:val="000E3967"/>
    <w:rsid w:val="000E40F3"/>
    <w:rsid w:val="000E4CD6"/>
    <w:rsid w:val="000E5A47"/>
    <w:rsid w:val="000E68B5"/>
    <w:rsid w:val="000F4C30"/>
    <w:rsid w:val="000F562E"/>
    <w:rsid w:val="000F5F52"/>
    <w:rsid w:val="000F69E8"/>
    <w:rsid w:val="000F6C57"/>
    <w:rsid w:val="000F7CF2"/>
    <w:rsid w:val="0010083D"/>
    <w:rsid w:val="001033EE"/>
    <w:rsid w:val="001037C9"/>
    <w:rsid w:val="00104DFE"/>
    <w:rsid w:val="00105EF8"/>
    <w:rsid w:val="001075C1"/>
    <w:rsid w:val="00107B3C"/>
    <w:rsid w:val="00110075"/>
    <w:rsid w:val="00110496"/>
    <w:rsid w:val="001105AD"/>
    <w:rsid w:val="00110E47"/>
    <w:rsid w:val="00113C0A"/>
    <w:rsid w:val="00114BDD"/>
    <w:rsid w:val="001158B7"/>
    <w:rsid w:val="00115CDC"/>
    <w:rsid w:val="00116DA0"/>
    <w:rsid w:val="0011702B"/>
    <w:rsid w:val="001236F9"/>
    <w:rsid w:val="0012762C"/>
    <w:rsid w:val="00130C9E"/>
    <w:rsid w:val="0013174E"/>
    <w:rsid w:val="00134404"/>
    <w:rsid w:val="00134C22"/>
    <w:rsid w:val="00137239"/>
    <w:rsid w:val="001379F5"/>
    <w:rsid w:val="00141511"/>
    <w:rsid w:val="001432EA"/>
    <w:rsid w:val="00143922"/>
    <w:rsid w:val="00144103"/>
    <w:rsid w:val="00144AD7"/>
    <w:rsid w:val="00145336"/>
    <w:rsid w:val="001458ED"/>
    <w:rsid w:val="00151ABC"/>
    <w:rsid w:val="0016064C"/>
    <w:rsid w:val="00160EA7"/>
    <w:rsid w:val="0016104F"/>
    <w:rsid w:val="0016331E"/>
    <w:rsid w:val="001641BD"/>
    <w:rsid w:val="00165434"/>
    <w:rsid w:val="001732E4"/>
    <w:rsid w:val="00174291"/>
    <w:rsid w:val="00175EAF"/>
    <w:rsid w:val="001772E6"/>
    <w:rsid w:val="0017749C"/>
    <w:rsid w:val="00180596"/>
    <w:rsid w:val="00181A36"/>
    <w:rsid w:val="0018213A"/>
    <w:rsid w:val="0018246E"/>
    <w:rsid w:val="00182F4B"/>
    <w:rsid w:val="00183D26"/>
    <w:rsid w:val="001855A4"/>
    <w:rsid w:val="00187603"/>
    <w:rsid w:val="00187EEA"/>
    <w:rsid w:val="0019185B"/>
    <w:rsid w:val="0019277E"/>
    <w:rsid w:val="0019384A"/>
    <w:rsid w:val="00197792"/>
    <w:rsid w:val="00197CFA"/>
    <w:rsid w:val="001A00E0"/>
    <w:rsid w:val="001A31E3"/>
    <w:rsid w:val="001A55D7"/>
    <w:rsid w:val="001A61F5"/>
    <w:rsid w:val="001B0366"/>
    <w:rsid w:val="001B1361"/>
    <w:rsid w:val="001B47F4"/>
    <w:rsid w:val="001B4DD0"/>
    <w:rsid w:val="001B4EC9"/>
    <w:rsid w:val="001B64E4"/>
    <w:rsid w:val="001B67CE"/>
    <w:rsid w:val="001B6EF1"/>
    <w:rsid w:val="001C2805"/>
    <w:rsid w:val="001C688F"/>
    <w:rsid w:val="001C7E30"/>
    <w:rsid w:val="001D00CC"/>
    <w:rsid w:val="001D0CBC"/>
    <w:rsid w:val="001D0FB6"/>
    <w:rsid w:val="001D192E"/>
    <w:rsid w:val="001D2004"/>
    <w:rsid w:val="001D2264"/>
    <w:rsid w:val="001D280B"/>
    <w:rsid w:val="001E0B10"/>
    <w:rsid w:val="001E2AF6"/>
    <w:rsid w:val="001E3FE8"/>
    <w:rsid w:val="001E6568"/>
    <w:rsid w:val="001E78C0"/>
    <w:rsid w:val="001F24A8"/>
    <w:rsid w:val="001F36EA"/>
    <w:rsid w:val="001F4ABB"/>
    <w:rsid w:val="001F59B6"/>
    <w:rsid w:val="001F71C1"/>
    <w:rsid w:val="00200F7F"/>
    <w:rsid w:val="002010F3"/>
    <w:rsid w:val="00202C4E"/>
    <w:rsid w:val="00203AB5"/>
    <w:rsid w:val="002040D1"/>
    <w:rsid w:val="00205E39"/>
    <w:rsid w:val="00207ED8"/>
    <w:rsid w:val="00211AA7"/>
    <w:rsid w:val="002123C0"/>
    <w:rsid w:val="00215239"/>
    <w:rsid w:val="002157D0"/>
    <w:rsid w:val="002161E2"/>
    <w:rsid w:val="0022135E"/>
    <w:rsid w:val="00223863"/>
    <w:rsid w:val="00223D42"/>
    <w:rsid w:val="00224301"/>
    <w:rsid w:val="00224F71"/>
    <w:rsid w:val="002314C2"/>
    <w:rsid w:val="00232B91"/>
    <w:rsid w:val="00232C2D"/>
    <w:rsid w:val="00232C66"/>
    <w:rsid w:val="002335BA"/>
    <w:rsid w:val="00234F5D"/>
    <w:rsid w:val="002401B0"/>
    <w:rsid w:val="00242CF4"/>
    <w:rsid w:val="002438DE"/>
    <w:rsid w:val="0024541E"/>
    <w:rsid w:val="00245974"/>
    <w:rsid w:val="00245C63"/>
    <w:rsid w:val="002461E8"/>
    <w:rsid w:val="00246E19"/>
    <w:rsid w:val="002474E7"/>
    <w:rsid w:val="00253765"/>
    <w:rsid w:val="00253E27"/>
    <w:rsid w:val="002553E1"/>
    <w:rsid w:val="00260011"/>
    <w:rsid w:val="00260309"/>
    <w:rsid w:val="002605DF"/>
    <w:rsid w:val="00260E11"/>
    <w:rsid w:val="00263534"/>
    <w:rsid w:val="002661EB"/>
    <w:rsid w:val="002667A8"/>
    <w:rsid w:val="00271269"/>
    <w:rsid w:val="00271623"/>
    <w:rsid w:val="00272BE5"/>
    <w:rsid w:val="00272D63"/>
    <w:rsid w:val="00272DE1"/>
    <w:rsid w:val="002741EF"/>
    <w:rsid w:val="0028063B"/>
    <w:rsid w:val="00282218"/>
    <w:rsid w:val="00282498"/>
    <w:rsid w:val="00284F20"/>
    <w:rsid w:val="00293D60"/>
    <w:rsid w:val="00294F2F"/>
    <w:rsid w:val="002968C6"/>
    <w:rsid w:val="002A047C"/>
    <w:rsid w:val="002A0B58"/>
    <w:rsid w:val="002A14E2"/>
    <w:rsid w:val="002A3BC3"/>
    <w:rsid w:val="002A486D"/>
    <w:rsid w:val="002A4D31"/>
    <w:rsid w:val="002A4E5A"/>
    <w:rsid w:val="002A5B69"/>
    <w:rsid w:val="002B25A9"/>
    <w:rsid w:val="002B2DD5"/>
    <w:rsid w:val="002B2F86"/>
    <w:rsid w:val="002B5BF0"/>
    <w:rsid w:val="002B6A58"/>
    <w:rsid w:val="002C055F"/>
    <w:rsid w:val="002C0974"/>
    <w:rsid w:val="002C114A"/>
    <w:rsid w:val="002C14C6"/>
    <w:rsid w:val="002C3C7E"/>
    <w:rsid w:val="002C3FD7"/>
    <w:rsid w:val="002C547E"/>
    <w:rsid w:val="002C5DD8"/>
    <w:rsid w:val="002D0C67"/>
    <w:rsid w:val="002D0EF3"/>
    <w:rsid w:val="002D486F"/>
    <w:rsid w:val="002D5859"/>
    <w:rsid w:val="002D5F37"/>
    <w:rsid w:val="002D64B8"/>
    <w:rsid w:val="002D69BA"/>
    <w:rsid w:val="002E0D32"/>
    <w:rsid w:val="002E2848"/>
    <w:rsid w:val="002E334D"/>
    <w:rsid w:val="002E4011"/>
    <w:rsid w:val="002E41AB"/>
    <w:rsid w:val="002E547E"/>
    <w:rsid w:val="002E685C"/>
    <w:rsid w:val="002E7842"/>
    <w:rsid w:val="002E7E12"/>
    <w:rsid w:val="002F0510"/>
    <w:rsid w:val="002F0819"/>
    <w:rsid w:val="002F0B7F"/>
    <w:rsid w:val="002F43CB"/>
    <w:rsid w:val="002F47EA"/>
    <w:rsid w:val="002F5F3C"/>
    <w:rsid w:val="002F6342"/>
    <w:rsid w:val="002F7BEB"/>
    <w:rsid w:val="00300E4F"/>
    <w:rsid w:val="00304529"/>
    <w:rsid w:val="00304BC9"/>
    <w:rsid w:val="00304D39"/>
    <w:rsid w:val="003065C2"/>
    <w:rsid w:val="0031023E"/>
    <w:rsid w:val="00311088"/>
    <w:rsid w:val="003117F6"/>
    <w:rsid w:val="00312ACD"/>
    <w:rsid w:val="00316911"/>
    <w:rsid w:val="003171E8"/>
    <w:rsid w:val="00320BB5"/>
    <w:rsid w:val="0032159A"/>
    <w:rsid w:val="00322D3F"/>
    <w:rsid w:val="00323277"/>
    <w:rsid w:val="00323346"/>
    <w:rsid w:val="00324908"/>
    <w:rsid w:val="00324BB0"/>
    <w:rsid w:val="00325B1F"/>
    <w:rsid w:val="00330B10"/>
    <w:rsid w:val="00330CE1"/>
    <w:rsid w:val="00331CC6"/>
    <w:rsid w:val="003333A6"/>
    <w:rsid w:val="003340E3"/>
    <w:rsid w:val="003341C4"/>
    <w:rsid w:val="0033585E"/>
    <w:rsid w:val="00345592"/>
    <w:rsid w:val="00346C51"/>
    <w:rsid w:val="0034741E"/>
    <w:rsid w:val="00350729"/>
    <w:rsid w:val="00350ADD"/>
    <w:rsid w:val="00350F52"/>
    <w:rsid w:val="003510A6"/>
    <w:rsid w:val="0035140E"/>
    <w:rsid w:val="00351920"/>
    <w:rsid w:val="00352982"/>
    <w:rsid w:val="00356008"/>
    <w:rsid w:val="003603C7"/>
    <w:rsid w:val="00360BCE"/>
    <w:rsid w:val="00361B2A"/>
    <w:rsid w:val="00361ED3"/>
    <w:rsid w:val="003623EE"/>
    <w:rsid w:val="003635F5"/>
    <w:rsid w:val="00367439"/>
    <w:rsid w:val="00367ABD"/>
    <w:rsid w:val="00367E52"/>
    <w:rsid w:val="003717DD"/>
    <w:rsid w:val="0037549E"/>
    <w:rsid w:val="0037596C"/>
    <w:rsid w:val="00381C6C"/>
    <w:rsid w:val="00381E4F"/>
    <w:rsid w:val="0038249C"/>
    <w:rsid w:val="003864A3"/>
    <w:rsid w:val="003870F1"/>
    <w:rsid w:val="00387E71"/>
    <w:rsid w:val="00387F93"/>
    <w:rsid w:val="003909BB"/>
    <w:rsid w:val="00391639"/>
    <w:rsid w:val="00393E3F"/>
    <w:rsid w:val="003950CF"/>
    <w:rsid w:val="00397218"/>
    <w:rsid w:val="003A22D0"/>
    <w:rsid w:val="003A399F"/>
    <w:rsid w:val="003A4448"/>
    <w:rsid w:val="003A5B20"/>
    <w:rsid w:val="003A6AFE"/>
    <w:rsid w:val="003A7003"/>
    <w:rsid w:val="003A7737"/>
    <w:rsid w:val="003B2098"/>
    <w:rsid w:val="003B2813"/>
    <w:rsid w:val="003B281B"/>
    <w:rsid w:val="003B38DF"/>
    <w:rsid w:val="003B5D3A"/>
    <w:rsid w:val="003B6F06"/>
    <w:rsid w:val="003C1C7A"/>
    <w:rsid w:val="003C1D52"/>
    <w:rsid w:val="003C5993"/>
    <w:rsid w:val="003C658A"/>
    <w:rsid w:val="003C711D"/>
    <w:rsid w:val="003C759E"/>
    <w:rsid w:val="003C79B2"/>
    <w:rsid w:val="003C7C3F"/>
    <w:rsid w:val="003C7FBB"/>
    <w:rsid w:val="003D0075"/>
    <w:rsid w:val="003D0718"/>
    <w:rsid w:val="003D3685"/>
    <w:rsid w:val="003D53C6"/>
    <w:rsid w:val="003D7837"/>
    <w:rsid w:val="003D7F55"/>
    <w:rsid w:val="003E1732"/>
    <w:rsid w:val="003E4AAB"/>
    <w:rsid w:val="003E6A61"/>
    <w:rsid w:val="003E720A"/>
    <w:rsid w:val="003F0F66"/>
    <w:rsid w:val="003F20E4"/>
    <w:rsid w:val="003F5415"/>
    <w:rsid w:val="003F6651"/>
    <w:rsid w:val="004000B8"/>
    <w:rsid w:val="0040095E"/>
    <w:rsid w:val="00402F24"/>
    <w:rsid w:val="0040309A"/>
    <w:rsid w:val="0040309D"/>
    <w:rsid w:val="0040339A"/>
    <w:rsid w:val="00403EC5"/>
    <w:rsid w:val="00404E50"/>
    <w:rsid w:val="004051E6"/>
    <w:rsid w:val="00405BD3"/>
    <w:rsid w:val="0041321C"/>
    <w:rsid w:val="00413314"/>
    <w:rsid w:val="00413DB8"/>
    <w:rsid w:val="00414E85"/>
    <w:rsid w:val="004206D1"/>
    <w:rsid w:val="004245EE"/>
    <w:rsid w:val="004263C7"/>
    <w:rsid w:val="00431C8E"/>
    <w:rsid w:val="00432ED6"/>
    <w:rsid w:val="00433B37"/>
    <w:rsid w:val="0043462D"/>
    <w:rsid w:val="00436BC9"/>
    <w:rsid w:val="00437623"/>
    <w:rsid w:val="00440CEB"/>
    <w:rsid w:val="00440DFE"/>
    <w:rsid w:val="00441FD9"/>
    <w:rsid w:val="00443994"/>
    <w:rsid w:val="004445AC"/>
    <w:rsid w:val="00444B07"/>
    <w:rsid w:val="004459A5"/>
    <w:rsid w:val="004470FB"/>
    <w:rsid w:val="00447A0F"/>
    <w:rsid w:val="00454323"/>
    <w:rsid w:val="00454637"/>
    <w:rsid w:val="00454C22"/>
    <w:rsid w:val="00454E0C"/>
    <w:rsid w:val="00455837"/>
    <w:rsid w:val="004559D7"/>
    <w:rsid w:val="00455E40"/>
    <w:rsid w:val="00457782"/>
    <w:rsid w:val="00461B7B"/>
    <w:rsid w:val="004639BB"/>
    <w:rsid w:val="00466046"/>
    <w:rsid w:val="00466E41"/>
    <w:rsid w:val="00466ECC"/>
    <w:rsid w:val="00467756"/>
    <w:rsid w:val="0047137C"/>
    <w:rsid w:val="00471FFA"/>
    <w:rsid w:val="004722AE"/>
    <w:rsid w:val="00474089"/>
    <w:rsid w:val="00474E6D"/>
    <w:rsid w:val="00475096"/>
    <w:rsid w:val="004750D4"/>
    <w:rsid w:val="00475500"/>
    <w:rsid w:val="00476257"/>
    <w:rsid w:val="00476EC5"/>
    <w:rsid w:val="0047731A"/>
    <w:rsid w:val="004779C4"/>
    <w:rsid w:val="00477EE1"/>
    <w:rsid w:val="004803BD"/>
    <w:rsid w:val="0048484D"/>
    <w:rsid w:val="00492D68"/>
    <w:rsid w:val="00496222"/>
    <w:rsid w:val="00496ADC"/>
    <w:rsid w:val="00496E8F"/>
    <w:rsid w:val="00496EA6"/>
    <w:rsid w:val="0049711B"/>
    <w:rsid w:val="004A0892"/>
    <w:rsid w:val="004A3132"/>
    <w:rsid w:val="004A371E"/>
    <w:rsid w:val="004A38F3"/>
    <w:rsid w:val="004A3FD3"/>
    <w:rsid w:val="004A4FE2"/>
    <w:rsid w:val="004A5294"/>
    <w:rsid w:val="004A78DD"/>
    <w:rsid w:val="004B50A5"/>
    <w:rsid w:val="004B685F"/>
    <w:rsid w:val="004B688A"/>
    <w:rsid w:val="004B745A"/>
    <w:rsid w:val="004B77A7"/>
    <w:rsid w:val="004B7EC2"/>
    <w:rsid w:val="004C0637"/>
    <w:rsid w:val="004C0F03"/>
    <w:rsid w:val="004C0F71"/>
    <w:rsid w:val="004C1378"/>
    <w:rsid w:val="004C13C9"/>
    <w:rsid w:val="004C1AA1"/>
    <w:rsid w:val="004C2CC0"/>
    <w:rsid w:val="004C2D2D"/>
    <w:rsid w:val="004C350F"/>
    <w:rsid w:val="004C46D5"/>
    <w:rsid w:val="004C4B32"/>
    <w:rsid w:val="004C5486"/>
    <w:rsid w:val="004C5694"/>
    <w:rsid w:val="004C5F32"/>
    <w:rsid w:val="004C6448"/>
    <w:rsid w:val="004D055F"/>
    <w:rsid w:val="004D1895"/>
    <w:rsid w:val="004D2F8C"/>
    <w:rsid w:val="004D4EA4"/>
    <w:rsid w:val="004D6821"/>
    <w:rsid w:val="004D74EA"/>
    <w:rsid w:val="004D7795"/>
    <w:rsid w:val="004D7B2A"/>
    <w:rsid w:val="004E044A"/>
    <w:rsid w:val="004E0F13"/>
    <w:rsid w:val="004E3046"/>
    <w:rsid w:val="004E30BD"/>
    <w:rsid w:val="004E4E8B"/>
    <w:rsid w:val="004E4FB8"/>
    <w:rsid w:val="004E56BA"/>
    <w:rsid w:val="004E5E7B"/>
    <w:rsid w:val="004F19CE"/>
    <w:rsid w:val="004F35B9"/>
    <w:rsid w:val="004F4A21"/>
    <w:rsid w:val="004F5B8E"/>
    <w:rsid w:val="00500C02"/>
    <w:rsid w:val="00500E7C"/>
    <w:rsid w:val="00505F1E"/>
    <w:rsid w:val="005063EE"/>
    <w:rsid w:val="005116EE"/>
    <w:rsid w:val="00511A70"/>
    <w:rsid w:val="00512299"/>
    <w:rsid w:val="00512558"/>
    <w:rsid w:val="005132E9"/>
    <w:rsid w:val="0051377E"/>
    <w:rsid w:val="00514489"/>
    <w:rsid w:val="00514EB2"/>
    <w:rsid w:val="00516AF5"/>
    <w:rsid w:val="00521C79"/>
    <w:rsid w:val="00523E1E"/>
    <w:rsid w:val="00524FE5"/>
    <w:rsid w:val="00525223"/>
    <w:rsid w:val="00527205"/>
    <w:rsid w:val="00527751"/>
    <w:rsid w:val="005310A7"/>
    <w:rsid w:val="00532C2E"/>
    <w:rsid w:val="00533CE6"/>
    <w:rsid w:val="0053455C"/>
    <w:rsid w:val="00534D1E"/>
    <w:rsid w:val="005377BA"/>
    <w:rsid w:val="00541895"/>
    <w:rsid w:val="00543B63"/>
    <w:rsid w:val="00544F2C"/>
    <w:rsid w:val="00545C70"/>
    <w:rsid w:val="005500A6"/>
    <w:rsid w:val="00552105"/>
    <w:rsid w:val="00554364"/>
    <w:rsid w:val="00555E7D"/>
    <w:rsid w:val="005564EF"/>
    <w:rsid w:val="00556A67"/>
    <w:rsid w:val="00557634"/>
    <w:rsid w:val="005636DB"/>
    <w:rsid w:val="0056377D"/>
    <w:rsid w:val="00564B41"/>
    <w:rsid w:val="00570B90"/>
    <w:rsid w:val="00571325"/>
    <w:rsid w:val="00571FC6"/>
    <w:rsid w:val="00573CD9"/>
    <w:rsid w:val="00573FFD"/>
    <w:rsid w:val="005771B5"/>
    <w:rsid w:val="00577E41"/>
    <w:rsid w:val="00581908"/>
    <w:rsid w:val="005827DC"/>
    <w:rsid w:val="005829C3"/>
    <w:rsid w:val="00583D81"/>
    <w:rsid w:val="0058596E"/>
    <w:rsid w:val="00585E5E"/>
    <w:rsid w:val="00586FE7"/>
    <w:rsid w:val="00592ED3"/>
    <w:rsid w:val="005935EF"/>
    <w:rsid w:val="00593C42"/>
    <w:rsid w:val="00593D31"/>
    <w:rsid w:val="005952B4"/>
    <w:rsid w:val="00595C20"/>
    <w:rsid w:val="005979A7"/>
    <w:rsid w:val="005A001D"/>
    <w:rsid w:val="005A00DC"/>
    <w:rsid w:val="005A2A77"/>
    <w:rsid w:val="005A2DA6"/>
    <w:rsid w:val="005A6C36"/>
    <w:rsid w:val="005A7400"/>
    <w:rsid w:val="005A7D12"/>
    <w:rsid w:val="005B14ED"/>
    <w:rsid w:val="005B1D50"/>
    <w:rsid w:val="005B1F3B"/>
    <w:rsid w:val="005B32F0"/>
    <w:rsid w:val="005B338D"/>
    <w:rsid w:val="005B359C"/>
    <w:rsid w:val="005B4BF9"/>
    <w:rsid w:val="005B5097"/>
    <w:rsid w:val="005B65CA"/>
    <w:rsid w:val="005B79B2"/>
    <w:rsid w:val="005C1E7C"/>
    <w:rsid w:val="005C243F"/>
    <w:rsid w:val="005C30BD"/>
    <w:rsid w:val="005C4217"/>
    <w:rsid w:val="005C5EE9"/>
    <w:rsid w:val="005D0818"/>
    <w:rsid w:val="005D099C"/>
    <w:rsid w:val="005D0AA5"/>
    <w:rsid w:val="005D3F99"/>
    <w:rsid w:val="005D4674"/>
    <w:rsid w:val="005D79F6"/>
    <w:rsid w:val="005E1487"/>
    <w:rsid w:val="005E28E4"/>
    <w:rsid w:val="005E2933"/>
    <w:rsid w:val="005E35FF"/>
    <w:rsid w:val="005E47E5"/>
    <w:rsid w:val="005E4E42"/>
    <w:rsid w:val="005F0546"/>
    <w:rsid w:val="005F21DA"/>
    <w:rsid w:val="005F2CF3"/>
    <w:rsid w:val="005F3B4C"/>
    <w:rsid w:val="005F3D2B"/>
    <w:rsid w:val="005F42EE"/>
    <w:rsid w:val="005F50D0"/>
    <w:rsid w:val="0060019F"/>
    <w:rsid w:val="0060058E"/>
    <w:rsid w:val="00601367"/>
    <w:rsid w:val="00601ADB"/>
    <w:rsid w:val="00601C8F"/>
    <w:rsid w:val="00602F41"/>
    <w:rsid w:val="00604F67"/>
    <w:rsid w:val="0061387C"/>
    <w:rsid w:val="00614BCB"/>
    <w:rsid w:val="00616072"/>
    <w:rsid w:val="006166A9"/>
    <w:rsid w:val="00617462"/>
    <w:rsid w:val="00617487"/>
    <w:rsid w:val="00621792"/>
    <w:rsid w:val="00621FA6"/>
    <w:rsid w:val="006230B9"/>
    <w:rsid w:val="00623E13"/>
    <w:rsid w:val="006244B6"/>
    <w:rsid w:val="00624965"/>
    <w:rsid w:val="00625041"/>
    <w:rsid w:val="006252BE"/>
    <w:rsid w:val="00625A2D"/>
    <w:rsid w:val="00627BB4"/>
    <w:rsid w:val="00627CB2"/>
    <w:rsid w:val="0063089C"/>
    <w:rsid w:val="0063153B"/>
    <w:rsid w:val="00633856"/>
    <w:rsid w:val="00634479"/>
    <w:rsid w:val="006344A6"/>
    <w:rsid w:val="006354EE"/>
    <w:rsid w:val="00635670"/>
    <w:rsid w:val="00635B3D"/>
    <w:rsid w:val="00640DB0"/>
    <w:rsid w:val="00641351"/>
    <w:rsid w:val="006417D0"/>
    <w:rsid w:val="006422D3"/>
    <w:rsid w:val="006423ED"/>
    <w:rsid w:val="006430BE"/>
    <w:rsid w:val="00643D40"/>
    <w:rsid w:val="006448F7"/>
    <w:rsid w:val="0064707A"/>
    <w:rsid w:val="00650543"/>
    <w:rsid w:val="006509EF"/>
    <w:rsid w:val="006518DF"/>
    <w:rsid w:val="006524D0"/>
    <w:rsid w:val="00655339"/>
    <w:rsid w:val="006576B0"/>
    <w:rsid w:val="00660AFA"/>
    <w:rsid w:val="00660B1B"/>
    <w:rsid w:val="0066200C"/>
    <w:rsid w:val="00663F84"/>
    <w:rsid w:val="00666AC2"/>
    <w:rsid w:val="00670309"/>
    <w:rsid w:val="00670E5C"/>
    <w:rsid w:val="0067346B"/>
    <w:rsid w:val="006750BE"/>
    <w:rsid w:val="0067515C"/>
    <w:rsid w:val="006819CC"/>
    <w:rsid w:val="00681DB9"/>
    <w:rsid w:val="0068201D"/>
    <w:rsid w:val="0068365B"/>
    <w:rsid w:val="0068381D"/>
    <w:rsid w:val="006863EC"/>
    <w:rsid w:val="00690196"/>
    <w:rsid w:val="006903D4"/>
    <w:rsid w:val="0069239F"/>
    <w:rsid w:val="00692A32"/>
    <w:rsid w:val="00693898"/>
    <w:rsid w:val="006941D6"/>
    <w:rsid w:val="006945C3"/>
    <w:rsid w:val="0069609C"/>
    <w:rsid w:val="0069731D"/>
    <w:rsid w:val="006A00D7"/>
    <w:rsid w:val="006A27A4"/>
    <w:rsid w:val="006A2F8E"/>
    <w:rsid w:val="006A318E"/>
    <w:rsid w:val="006A5082"/>
    <w:rsid w:val="006A7D24"/>
    <w:rsid w:val="006B02E5"/>
    <w:rsid w:val="006B0446"/>
    <w:rsid w:val="006B1F3F"/>
    <w:rsid w:val="006B1F81"/>
    <w:rsid w:val="006B23B2"/>
    <w:rsid w:val="006B4693"/>
    <w:rsid w:val="006B4C37"/>
    <w:rsid w:val="006B5B28"/>
    <w:rsid w:val="006B66FD"/>
    <w:rsid w:val="006B6F56"/>
    <w:rsid w:val="006C00B0"/>
    <w:rsid w:val="006C08F3"/>
    <w:rsid w:val="006C0B33"/>
    <w:rsid w:val="006C0F59"/>
    <w:rsid w:val="006C15C1"/>
    <w:rsid w:val="006C3775"/>
    <w:rsid w:val="006C4EE6"/>
    <w:rsid w:val="006C5BF9"/>
    <w:rsid w:val="006C5E1B"/>
    <w:rsid w:val="006D2048"/>
    <w:rsid w:val="006D3295"/>
    <w:rsid w:val="006D39D5"/>
    <w:rsid w:val="006D60C2"/>
    <w:rsid w:val="006D6EE0"/>
    <w:rsid w:val="006E05C1"/>
    <w:rsid w:val="006E15F0"/>
    <w:rsid w:val="006E3377"/>
    <w:rsid w:val="006E4BFD"/>
    <w:rsid w:val="006E52CC"/>
    <w:rsid w:val="006E5355"/>
    <w:rsid w:val="006F20ED"/>
    <w:rsid w:val="006F36B8"/>
    <w:rsid w:val="006F4DE9"/>
    <w:rsid w:val="006F5F9D"/>
    <w:rsid w:val="006F66D4"/>
    <w:rsid w:val="006F7EB8"/>
    <w:rsid w:val="00701262"/>
    <w:rsid w:val="00705E37"/>
    <w:rsid w:val="00710974"/>
    <w:rsid w:val="007111F6"/>
    <w:rsid w:val="00711ABA"/>
    <w:rsid w:val="00711D19"/>
    <w:rsid w:val="0071212A"/>
    <w:rsid w:val="007134FA"/>
    <w:rsid w:val="00716493"/>
    <w:rsid w:val="007234C8"/>
    <w:rsid w:val="00724C3B"/>
    <w:rsid w:val="00726A38"/>
    <w:rsid w:val="00726F7E"/>
    <w:rsid w:val="00732A35"/>
    <w:rsid w:val="00732B82"/>
    <w:rsid w:val="00733F58"/>
    <w:rsid w:val="00734BC4"/>
    <w:rsid w:val="00741EBD"/>
    <w:rsid w:val="00745039"/>
    <w:rsid w:val="0074564F"/>
    <w:rsid w:val="007459F7"/>
    <w:rsid w:val="00746A66"/>
    <w:rsid w:val="00746FEC"/>
    <w:rsid w:val="0074742A"/>
    <w:rsid w:val="007478CA"/>
    <w:rsid w:val="0075137A"/>
    <w:rsid w:val="007527F9"/>
    <w:rsid w:val="00756F41"/>
    <w:rsid w:val="00760B94"/>
    <w:rsid w:val="00762752"/>
    <w:rsid w:val="007636F7"/>
    <w:rsid w:val="00763FBD"/>
    <w:rsid w:val="0076422D"/>
    <w:rsid w:val="007729C4"/>
    <w:rsid w:val="00773575"/>
    <w:rsid w:val="00773E24"/>
    <w:rsid w:val="00775F47"/>
    <w:rsid w:val="007771B8"/>
    <w:rsid w:val="00781868"/>
    <w:rsid w:val="00783F06"/>
    <w:rsid w:val="00784989"/>
    <w:rsid w:val="00791470"/>
    <w:rsid w:val="00791DD5"/>
    <w:rsid w:val="00792E5E"/>
    <w:rsid w:val="0079322C"/>
    <w:rsid w:val="00794A28"/>
    <w:rsid w:val="007951FA"/>
    <w:rsid w:val="0079551C"/>
    <w:rsid w:val="00796EFA"/>
    <w:rsid w:val="007A0DDC"/>
    <w:rsid w:val="007A24CA"/>
    <w:rsid w:val="007A3586"/>
    <w:rsid w:val="007A3CAC"/>
    <w:rsid w:val="007A3F12"/>
    <w:rsid w:val="007A4B39"/>
    <w:rsid w:val="007A5338"/>
    <w:rsid w:val="007A5FB3"/>
    <w:rsid w:val="007A61DB"/>
    <w:rsid w:val="007A6671"/>
    <w:rsid w:val="007B1EB0"/>
    <w:rsid w:val="007B23BB"/>
    <w:rsid w:val="007B4F60"/>
    <w:rsid w:val="007B57B4"/>
    <w:rsid w:val="007B5A11"/>
    <w:rsid w:val="007B5FBF"/>
    <w:rsid w:val="007B6F2F"/>
    <w:rsid w:val="007C028F"/>
    <w:rsid w:val="007C09C6"/>
    <w:rsid w:val="007C16F0"/>
    <w:rsid w:val="007C177A"/>
    <w:rsid w:val="007C3314"/>
    <w:rsid w:val="007C41E0"/>
    <w:rsid w:val="007C41E2"/>
    <w:rsid w:val="007C431F"/>
    <w:rsid w:val="007C6221"/>
    <w:rsid w:val="007C7CD5"/>
    <w:rsid w:val="007D6203"/>
    <w:rsid w:val="007D68FC"/>
    <w:rsid w:val="007D73E0"/>
    <w:rsid w:val="007E0D7D"/>
    <w:rsid w:val="007E17EA"/>
    <w:rsid w:val="007E3B18"/>
    <w:rsid w:val="007E5029"/>
    <w:rsid w:val="007E5E4C"/>
    <w:rsid w:val="007E7963"/>
    <w:rsid w:val="007F0E84"/>
    <w:rsid w:val="007F286C"/>
    <w:rsid w:val="007F3AE2"/>
    <w:rsid w:val="007F3F65"/>
    <w:rsid w:val="007F4214"/>
    <w:rsid w:val="007F4BD2"/>
    <w:rsid w:val="007F5179"/>
    <w:rsid w:val="007F7EAB"/>
    <w:rsid w:val="0080376D"/>
    <w:rsid w:val="00804322"/>
    <w:rsid w:val="00804A26"/>
    <w:rsid w:val="00805318"/>
    <w:rsid w:val="00805369"/>
    <w:rsid w:val="008060A7"/>
    <w:rsid w:val="00806188"/>
    <w:rsid w:val="008079F9"/>
    <w:rsid w:val="008102F9"/>
    <w:rsid w:val="0081200B"/>
    <w:rsid w:val="008133C7"/>
    <w:rsid w:val="008143FA"/>
    <w:rsid w:val="00814610"/>
    <w:rsid w:val="00814EA7"/>
    <w:rsid w:val="008155F7"/>
    <w:rsid w:val="00821183"/>
    <w:rsid w:val="008213BA"/>
    <w:rsid w:val="00822887"/>
    <w:rsid w:val="0082547D"/>
    <w:rsid w:val="00837462"/>
    <w:rsid w:val="0083748A"/>
    <w:rsid w:val="00840A05"/>
    <w:rsid w:val="0084103C"/>
    <w:rsid w:val="0084116C"/>
    <w:rsid w:val="00841FDC"/>
    <w:rsid w:val="0084313D"/>
    <w:rsid w:val="00844D0D"/>
    <w:rsid w:val="008457B6"/>
    <w:rsid w:val="008459C0"/>
    <w:rsid w:val="0084637D"/>
    <w:rsid w:val="008464A0"/>
    <w:rsid w:val="00851C1E"/>
    <w:rsid w:val="00853DFD"/>
    <w:rsid w:val="0085480E"/>
    <w:rsid w:val="00856DDB"/>
    <w:rsid w:val="00857173"/>
    <w:rsid w:val="00857FED"/>
    <w:rsid w:val="00860263"/>
    <w:rsid w:val="00860796"/>
    <w:rsid w:val="00860837"/>
    <w:rsid w:val="00860A43"/>
    <w:rsid w:val="00860DAB"/>
    <w:rsid w:val="00861570"/>
    <w:rsid w:val="00862B8D"/>
    <w:rsid w:val="008630E2"/>
    <w:rsid w:val="008662BE"/>
    <w:rsid w:val="00867112"/>
    <w:rsid w:val="00872E06"/>
    <w:rsid w:val="00876773"/>
    <w:rsid w:val="008769CB"/>
    <w:rsid w:val="00877BDA"/>
    <w:rsid w:val="00877D71"/>
    <w:rsid w:val="00880E0E"/>
    <w:rsid w:val="00882544"/>
    <w:rsid w:val="0088555E"/>
    <w:rsid w:val="00886667"/>
    <w:rsid w:val="00886F2F"/>
    <w:rsid w:val="00890F0C"/>
    <w:rsid w:val="008928DB"/>
    <w:rsid w:val="0089372E"/>
    <w:rsid w:val="0089582A"/>
    <w:rsid w:val="00897084"/>
    <w:rsid w:val="008976F9"/>
    <w:rsid w:val="008A00B8"/>
    <w:rsid w:val="008A209B"/>
    <w:rsid w:val="008A21F1"/>
    <w:rsid w:val="008A409C"/>
    <w:rsid w:val="008A4A67"/>
    <w:rsid w:val="008A516B"/>
    <w:rsid w:val="008A57E4"/>
    <w:rsid w:val="008A5B44"/>
    <w:rsid w:val="008A6475"/>
    <w:rsid w:val="008A7FCE"/>
    <w:rsid w:val="008B0738"/>
    <w:rsid w:val="008B1869"/>
    <w:rsid w:val="008B1D2D"/>
    <w:rsid w:val="008B2D06"/>
    <w:rsid w:val="008B3CAF"/>
    <w:rsid w:val="008B505A"/>
    <w:rsid w:val="008B56C4"/>
    <w:rsid w:val="008B5ADD"/>
    <w:rsid w:val="008B5D88"/>
    <w:rsid w:val="008B6BDB"/>
    <w:rsid w:val="008B6D94"/>
    <w:rsid w:val="008B749F"/>
    <w:rsid w:val="008B7F02"/>
    <w:rsid w:val="008C01FF"/>
    <w:rsid w:val="008C0991"/>
    <w:rsid w:val="008C0BF9"/>
    <w:rsid w:val="008C10AA"/>
    <w:rsid w:val="008C12F8"/>
    <w:rsid w:val="008C13A6"/>
    <w:rsid w:val="008C141E"/>
    <w:rsid w:val="008C1B9E"/>
    <w:rsid w:val="008C1D95"/>
    <w:rsid w:val="008C1F22"/>
    <w:rsid w:val="008C1F50"/>
    <w:rsid w:val="008C3940"/>
    <w:rsid w:val="008C43DB"/>
    <w:rsid w:val="008C4416"/>
    <w:rsid w:val="008C5639"/>
    <w:rsid w:val="008C5C44"/>
    <w:rsid w:val="008C69AB"/>
    <w:rsid w:val="008C6C4C"/>
    <w:rsid w:val="008C7AE0"/>
    <w:rsid w:val="008D0792"/>
    <w:rsid w:val="008D0DAD"/>
    <w:rsid w:val="008D2DB2"/>
    <w:rsid w:val="008D5289"/>
    <w:rsid w:val="008D62D6"/>
    <w:rsid w:val="008E0AF3"/>
    <w:rsid w:val="008E2352"/>
    <w:rsid w:val="008E32A5"/>
    <w:rsid w:val="008E3F9A"/>
    <w:rsid w:val="008E5CFF"/>
    <w:rsid w:val="008E616F"/>
    <w:rsid w:val="008F0DC4"/>
    <w:rsid w:val="008F3044"/>
    <w:rsid w:val="008F4B84"/>
    <w:rsid w:val="008F5EC3"/>
    <w:rsid w:val="008F6474"/>
    <w:rsid w:val="008F7147"/>
    <w:rsid w:val="008F714E"/>
    <w:rsid w:val="00902186"/>
    <w:rsid w:val="009057F7"/>
    <w:rsid w:val="00906362"/>
    <w:rsid w:val="009065FF"/>
    <w:rsid w:val="00910181"/>
    <w:rsid w:val="00911524"/>
    <w:rsid w:val="00912507"/>
    <w:rsid w:val="00912987"/>
    <w:rsid w:val="00912C69"/>
    <w:rsid w:val="00915690"/>
    <w:rsid w:val="0091765F"/>
    <w:rsid w:val="00920DA5"/>
    <w:rsid w:val="0092183F"/>
    <w:rsid w:val="00923003"/>
    <w:rsid w:val="00923C41"/>
    <w:rsid w:val="00923DF1"/>
    <w:rsid w:val="00923E8A"/>
    <w:rsid w:val="00925855"/>
    <w:rsid w:val="00925DDE"/>
    <w:rsid w:val="009260D9"/>
    <w:rsid w:val="00926B25"/>
    <w:rsid w:val="00926F03"/>
    <w:rsid w:val="00927073"/>
    <w:rsid w:val="009276F6"/>
    <w:rsid w:val="00927ECB"/>
    <w:rsid w:val="0093346E"/>
    <w:rsid w:val="00933F39"/>
    <w:rsid w:val="00935B1F"/>
    <w:rsid w:val="00936DE3"/>
    <w:rsid w:val="00936F5A"/>
    <w:rsid w:val="00937109"/>
    <w:rsid w:val="00941129"/>
    <w:rsid w:val="0094161E"/>
    <w:rsid w:val="00941BED"/>
    <w:rsid w:val="009426A6"/>
    <w:rsid w:val="00942CEF"/>
    <w:rsid w:val="0094365A"/>
    <w:rsid w:val="00943EED"/>
    <w:rsid w:val="009466D8"/>
    <w:rsid w:val="00946F5E"/>
    <w:rsid w:val="009471C8"/>
    <w:rsid w:val="00950375"/>
    <w:rsid w:val="009523FA"/>
    <w:rsid w:val="00963A7A"/>
    <w:rsid w:val="00963B39"/>
    <w:rsid w:val="00974B20"/>
    <w:rsid w:val="00977A07"/>
    <w:rsid w:val="00977F1D"/>
    <w:rsid w:val="00980FBA"/>
    <w:rsid w:val="00982830"/>
    <w:rsid w:val="009834A4"/>
    <w:rsid w:val="0098360C"/>
    <w:rsid w:val="009848DB"/>
    <w:rsid w:val="00986862"/>
    <w:rsid w:val="00991886"/>
    <w:rsid w:val="00993120"/>
    <w:rsid w:val="00993792"/>
    <w:rsid w:val="009960D7"/>
    <w:rsid w:val="00996682"/>
    <w:rsid w:val="009969C0"/>
    <w:rsid w:val="009A2508"/>
    <w:rsid w:val="009A2E5A"/>
    <w:rsid w:val="009A382D"/>
    <w:rsid w:val="009A4F85"/>
    <w:rsid w:val="009A5BA4"/>
    <w:rsid w:val="009B0AB2"/>
    <w:rsid w:val="009B2C9B"/>
    <w:rsid w:val="009B2DDC"/>
    <w:rsid w:val="009B312F"/>
    <w:rsid w:val="009B440A"/>
    <w:rsid w:val="009B6C8E"/>
    <w:rsid w:val="009B6F0A"/>
    <w:rsid w:val="009B7011"/>
    <w:rsid w:val="009C109F"/>
    <w:rsid w:val="009C165E"/>
    <w:rsid w:val="009C2C5B"/>
    <w:rsid w:val="009C3785"/>
    <w:rsid w:val="009C434F"/>
    <w:rsid w:val="009C57B4"/>
    <w:rsid w:val="009C6C42"/>
    <w:rsid w:val="009C726C"/>
    <w:rsid w:val="009C7735"/>
    <w:rsid w:val="009D4882"/>
    <w:rsid w:val="009D5EB7"/>
    <w:rsid w:val="009D62FE"/>
    <w:rsid w:val="009D6706"/>
    <w:rsid w:val="009D7480"/>
    <w:rsid w:val="009E06B6"/>
    <w:rsid w:val="009E332E"/>
    <w:rsid w:val="009E702A"/>
    <w:rsid w:val="009E7C05"/>
    <w:rsid w:val="009F0B21"/>
    <w:rsid w:val="009F2625"/>
    <w:rsid w:val="009F2CA4"/>
    <w:rsid w:val="009F3503"/>
    <w:rsid w:val="00A04801"/>
    <w:rsid w:val="00A0535F"/>
    <w:rsid w:val="00A06F82"/>
    <w:rsid w:val="00A111BB"/>
    <w:rsid w:val="00A12583"/>
    <w:rsid w:val="00A127A9"/>
    <w:rsid w:val="00A12D87"/>
    <w:rsid w:val="00A14230"/>
    <w:rsid w:val="00A1472B"/>
    <w:rsid w:val="00A152E2"/>
    <w:rsid w:val="00A155AC"/>
    <w:rsid w:val="00A15E42"/>
    <w:rsid w:val="00A16634"/>
    <w:rsid w:val="00A203D2"/>
    <w:rsid w:val="00A20B81"/>
    <w:rsid w:val="00A23D8D"/>
    <w:rsid w:val="00A2460F"/>
    <w:rsid w:val="00A24877"/>
    <w:rsid w:val="00A25AEE"/>
    <w:rsid w:val="00A27319"/>
    <w:rsid w:val="00A31197"/>
    <w:rsid w:val="00A3127A"/>
    <w:rsid w:val="00A33E5B"/>
    <w:rsid w:val="00A344EA"/>
    <w:rsid w:val="00A36E96"/>
    <w:rsid w:val="00A377E7"/>
    <w:rsid w:val="00A42010"/>
    <w:rsid w:val="00A4240C"/>
    <w:rsid w:val="00A42CEC"/>
    <w:rsid w:val="00A43353"/>
    <w:rsid w:val="00A4351D"/>
    <w:rsid w:val="00A43C74"/>
    <w:rsid w:val="00A43E5B"/>
    <w:rsid w:val="00A45585"/>
    <w:rsid w:val="00A506E0"/>
    <w:rsid w:val="00A51443"/>
    <w:rsid w:val="00A5147C"/>
    <w:rsid w:val="00A54DD1"/>
    <w:rsid w:val="00A54FA8"/>
    <w:rsid w:val="00A56FA4"/>
    <w:rsid w:val="00A5754C"/>
    <w:rsid w:val="00A6023D"/>
    <w:rsid w:val="00A6100F"/>
    <w:rsid w:val="00A616A1"/>
    <w:rsid w:val="00A6189B"/>
    <w:rsid w:val="00A623A6"/>
    <w:rsid w:val="00A6434C"/>
    <w:rsid w:val="00A64B3D"/>
    <w:rsid w:val="00A6563F"/>
    <w:rsid w:val="00A667CE"/>
    <w:rsid w:val="00A667EB"/>
    <w:rsid w:val="00A669B1"/>
    <w:rsid w:val="00A7143C"/>
    <w:rsid w:val="00A716E0"/>
    <w:rsid w:val="00A71B1D"/>
    <w:rsid w:val="00A71C3A"/>
    <w:rsid w:val="00A73592"/>
    <w:rsid w:val="00A7359F"/>
    <w:rsid w:val="00A737E0"/>
    <w:rsid w:val="00A73DF2"/>
    <w:rsid w:val="00A7472B"/>
    <w:rsid w:val="00A75D7B"/>
    <w:rsid w:val="00A7624D"/>
    <w:rsid w:val="00A76C36"/>
    <w:rsid w:val="00A76CCD"/>
    <w:rsid w:val="00A81978"/>
    <w:rsid w:val="00A83621"/>
    <w:rsid w:val="00A873B3"/>
    <w:rsid w:val="00A8765B"/>
    <w:rsid w:val="00A87752"/>
    <w:rsid w:val="00A925BF"/>
    <w:rsid w:val="00A92689"/>
    <w:rsid w:val="00A94E34"/>
    <w:rsid w:val="00A9729B"/>
    <w:rsid w:val="00A97E04"/>
    <w:rsid w:val="00AA05AC"/>
    <w:rsid w:val="00AA2E57"/>
    <w:rsid w:val="00AA4836"/>
    <w:rsid w:val="00AA4869"/>
    <w:rsid w:val="00AA4CB1"/>
    <w:rsid w:val="00AA4E9C"/>
    <w:rsid w:val="00AA6C0C"/>
    <w:rsid w:val="00AB0860"/>
    <w:rsid w:val="00AB0F20"/>
    <w:rsid w:val="00AB108E"/>
    <w:rsid w:val="00AB270C"/>
    <w:rsid w:val="00AB2905"/>
    <w:rsid w:val="00AB321C"/>
    <w:rsid w:val="00AB3716"/>
    <w:rsid w:val="00AB4322"/>
    <w:rsid w:val="00AB58C4"/>
    <w:rsid w:val="00AC02DB"/>
    <w:rsid w:val="00AC0BFB"/>
    <w:rsid w:val="00AC21B7"/>
    <w:rsid w:val="00AC3EAC"/>
    <w:rsid w:val="00AC448C"/>
    <w:rsid w:val="00AC4FA3"/>
    <w:rsid w:val="00AC6CD2"/>
    <w:rsid w:val="00AC7B6F"/>
    <w:rsid w:val="00AC7F69"/>
    <w:rsid w:val="00AD04AF"/>
    <w:rsid w:val="00AD114F"/>
    <w:rsid w:val="00AD3292"/>
    <w:rsid w:val="00AD3CD5"/>
    <w:rsid w:val="00AD665D"/>
    <w:rsid w:val="00AD7A30"/>
    <w:rsid w:val="00AE02DB"/>
    <w:rsid w:val="00AE3F36"/>
    <w:rsid w:val="00AF0042"/>
    <w:rsid w:val="00AF170A"/>
    <w:rsid w:val="00AF2E37"/>
    <w:rsid w:val="00AF516D"/>
    <w:rsid w:val="00AF60D0"/>
    <w:rsid w:val="00AF6989"/>
    <w:rsid w:val="00AF7276"/>
    <w:rsid w:val="00B0086D"/>
    <w:rsid w:val="00B00EDE"/>
    <w:rsid w:val="00B033E9"/>
    <w:rsid w:val="00B03A95"/>
    <w:rsid w:val="00B0437B"/>
    <w:rsid w:val="00B04D0F"/>
    <w:rsid w:val="00B04F78"/>
    <w:rsid w:val="00B05AE2"/>
    <w:rsid w:val="00B06149"/>
    <w:rsid w:val="00B06199"/>
    <w:rsid w:val="00B07C1F"/>
    <w:rsid w:val="00B07D65"/>
    <w:rsid w:val="00B10086"/>
    <w:rsid w:val="00B10753"/>
    <w:rsid w:val="00B12BE6"/>
    <w:rsid w:val="00B1401B"/>
    <w:rsid w:val="00B140CA"/>
    <w:rsid w:val="00B144C2"/>
    <w:rsid w:val="00B162AF"/>
    <w:rsid w:val="00B207A4"/>
    <w:rsid w:val="00B20C59"/>
    <w:rsid w:val="00B21FC8"/>
    <w:rsid w:val="00B223CD"/>
    <w:rsid w:val="00B242BF"/>
    <w:rsid w:val="00B26790"/>
    <w:rsid w:val="00B27AC7"/>
    <w:rsid w:val="00B3104E"/>
    <w:rsid w:val="00B31C1A"/>
    <w:rsid w:val="00B36162"/>
    <w:rsid w:val="00B37C84"/>
    <w:rsid w:val="00B423CA"/>
    <w:rsid w:val="00B502AA"/>
    <w:rsid w:val="00B53A33"/>
    <w:rsid w:val="00B55214"/>
    <w:rsid w:val="00B569EC"/>
    <w:rsid w:val="00B5735A"/>
    <w:rsid w:val="00B5736A"/>
    <w:rsid w:val="00B6055F"/>
    <w:rsid w:val="00B6107F"/>
    <w:rsid w:val="00B62341"/>
    <w:rsid w:val="00B63037"/>
    <w:rsid w:val="00B63736"/>
    <w:rsid w:val="00B64D69"/>
    <w:rsid w:val="00B6566F"/>
    <w:rsid w:val="00B7098A"/>
    <w:rsid w:val="00B71674"/>
    <w:rsid w:val="00B71F2F"/>
    <w:rsid w:val="00B73722"/>
    <w:rsid w:val="00B75BCD"/>
    <w:rsid w:val="00B76FBE"/>
    <w:rsid w:val="00B8040A"/>
    <w:rsid w:val="00B80EBB"/>
    <w:rsid w:val="00B81089"/>
    <w:rsid w:val="00B8189D"/>
    <w:rsid w:val="00B82317"/>
    <w:rsid w:val="00B826E2"/>
    <w:rsid w:val="00B82CD6"/>
    <w:rsid w:val="00B83015"/>
    <w:rsid w:val="00B84E20"/>
    <w:rsid w:val="00B853C2"/>
    <w:rsid w:val="00B85897"/>
    <w:rsid w:val="00B85B34"/>
    <w:rsid w:val="00B8621F"/>
    <w:rsid w:val="00B8732C"/>
    <w:rsid w:val="00B91850"/>
    <w:rsid w:val="00B92CF4"/>
    <w:rsid w:val="00B93644"/>
    <w:rsid w:val="00B93F1C"/>
    <w:rsid w:val="00B945E7"/>
    <w:rsid w:val="00B9474F"/>
    <w:rsid w:val="00B95CEC"/>
    <w:rsid w:val="00B97E87"/>
    <w:rsid w:val="00BA1537"/>
    <w:rsid w:val="00BA4F6D"/>
    <w:rsid w:val="00BB1307"/>
    <w:rsid w:val="00BB2451"/>
    <w:rsid w:val="00BB26CE"/>
    <w:rsid w:val="00BB39B7"/>
    <w:rsid w:val="00BB3CA5"/>
    <w:rsid w:val="00BB4A49"/>
    <w:rsid w:val="00BB52A9"/>
    <w:rsid w:val="00BB5680"/>
    <w:rsid w:val="00BB5D8E"/>
    <w:rsid w:val="00BB63B9"/>
    <w:rsid w:val="00BB69CC"/>
    <w:rsid w:val="00BB7136"/>
    <w:rsid w:val="00BC16CA"/>
    <w:rsid w:val="00BC18B4"/>
    <w:rsid w:val="00BC3082"/>
    <w:rsid w:val="00BC7772"/>
    <w:rsid w:val="00BD018A"/>
    <w:rsid w:val="00BD1202"/>
    <w:rsid w:val="00BD2846"/>
    <w:rsid w:val="00BD2C8B"/>
    <w:rsid w:val="00BD3875"/>
    <w:rsid w:val="00BD598A"/>
    <w:rsid w:val="00BD5B22"/>
    <w:rsid w:val="00BE2038"/>
    <w:rsid w:val="00BE2185"/>
    <w:rsid w:val="00BE338D"/>
    <w:rsid w:val="00BE47EC"/>
    <w:rsid w:val="00BE60CD"/>
    <w:rsid w:val="00BF0C92"/>
    <w:rsid w:val="00BF2836"/>
    <w:rsid w:val="00BF31AF"/>
    <w:rsid w:val="00BF36E2"/>
    <w:rsid w:val="00BF3D6A"/>
    <w:rsid w:val="00BF3F5A"/>
    <w:rsid w:val="00BF4E2D"/>
    <w:rsid w:val="00C0004B"/>
    <w:rsid w:val="00C008BC"/>
    <w:rsid w:val="00C017FD"/>
    <w:rsid w:val="00C01C09"/>
    <w:rsid w:val="00C020B7"/>
    <w:rsid w:val="00C02493"/>
    <w:rsid w:val="00C024B7"/>
    <w:rsid w:val="00C10B00"/>
    <w:rsid w:val="00C10E77"/>
    <w:rsid w:val="00C11C92"/>
    <w:rsid w:val="00C121BD"/>
    <w:rsid w:val="00C125A9"/>
    <w:rsid w:val="00C12688"/>
    <w:rsid w:val="00C139DC"/>
    <w:rsid w:val="00C13CFF"/>
    <w:rsid w:val="00C142A3"/>
    <w:rsid w:val="00C15822"/>
    <w:rsid w:val="00C165CC"/>
    <w:rsid w:val="00C16768"/>
    <w:rsid w:val="00C16FC7"/>
    <w:rsid w:val="00C17E28"/>
    <w:rsid w:val="00C20ACD"/>
    <w:rsid w:val="00C21C1B"/>
    <w:rsid w:val="00C21DF5"/>
    <w:rsid w:val="00C23B61"/>
    <w:rsid w:val="00C24729"/>
    <w:rsid w:val="00C2631B"/>
    <w:rsid w:val="00C2746A"/>
    <w:rsid w:val="00C27DA3"/>
    <w:rsid w:val="00C3359C"/>
    <w:rsid w:val="00C343A4"/>
    <w:rsid w:val="00C34885"/>
    <w:rsid w:val="00C350C2"/>
    <w:rsid w:val="00C3600D"/>
    <w:rsid w:val="00C36E63"/>
    <w:rsid w:val="00C372D5"/>
    <w:rsid w:val="00C378A2"/>
    <w:rsid w:val="00C37A51"/>
    <w:rsid w:val="00C37FA3"/>
    <w:rsid w:val="00C404F9"/>
    <w:rsid w:val="00C41C89"/>
    <w:rsid w:val="00C4313F"/>
    <w:rsid w:val="00C442BB"/>
    <w:rsid w:val="00C44F09"/>
    <w:rsid w:val="00C4516C"/>
    <w:rsid w:val="00C4745B"/>
    <w:rsid w:val="00C47BC5"/>
    <w:rsid w:val="00C50DE6"/>
    <w:rsid w:val="00C538A0"/>
    <w:rsid w:val="00C5526B"/>
    <w:rsid w:val="00C5538C"/>
    <w:rsid w:val="00C55C16"/>
    <w:rsid w:val="00C60B2A"/>
    <w:rsid w:val="00C62074"/>
    <w:rsid w:val="00C64EAD"/>
    <w:rsid w:val="00C65167"/>
    <w:rsid w:val="00C70CAA"/>
    <w:rsid w:val="00C72013"/>
    <w:rsid w:val="00C72594"/>
    <w:rsid w:val="00C72A5D"/>
    <w:rsid w:val="00C74193"/>
    <w:rsid w:val="00C756C5"/>
    <w:rsid w:val="00C757D1"/>
    <w:rsid w:val="00C809A8"/>
    <w:rsid w:val="00C81C13"/>
    <w:rsid w:val="00C8220F"/>
    <w:rsid w:val="00C82CA9"/>
    <w:rsid w:val="00C8346B"/>
    <w:rsid w:val="00C843C9"/>
    <w:rsid w:val="00C85059"/>
    <w:rsid w:val="00C85231"/>
    <w:rsid w:val="00C860C9"/>
    <w:rsid w:val="00C86939"/>
    <w:rsid w:val="00C91227"/>
    <w:rsid w:val="00C95FAD"/>
    <w:rsid w:val="00C96BD6"/>
    <w:rsid w:val="00CA0B97"/>
    <w:rsid w:val="00CA0C33"/>
    <w:rsid w:val="00CA2283"/>
    <w:rsid w:val="00CA4B7A"/>
    <w:rsid w:val="00CA6209"/>
    <w:rsid w:val="00CA66E5"/>
    <w:rsid w:val="00CA758C"/>
    <w:rsid w:val="00CB5A53"/>
    <w:rsid w:val="00CB5F8A"/>
    <w:rsid w:val="00CB7431"/>
    <w:rsid w:val="00CB753E"/>
    <w:rsid w:val="00CB7805"/>
    <w:rsid w:val="00CC14BF"/>
    <w:rsid w:val="00CC4E63"/>
    <w:rsid w:val="00CC6707"/>
    <w:rsid w:val="00CD04A7"/>
    <w:rsid w:val="00CD1A5D"/>
    <w:rsid w:val="00CD1E77"/>
    <w:rsid w:val="00CD23AE"/>
    <w:rsid w:val="00CD4170"/>
    <w:rsid w:val="00CD4850"/>
    <w:rsid w:val="00CD75FD"/>
    <w:rsid w:val="00CD7BA7"/>
    <w:rsid w:val="00CE0704"/>
    <w:rsid w:val="00CE11CB"/>
    <w:rsid w:val="00CE4098"/>
    <w:rsid w:val="00CE4959"/>
    <w:rsid w:val="00CE59C2"/>
    <w:rsid w:val="00CE5A58"/>
    <w:rsid w:val="00CE70C0"/>
    <w:rsid w:val="00CE796B"/>
    <w:rsid w:val="00CE7FE5"/>
    <w:rsid w:val="00CF15D2"/>
    <w:rsid w:val="00CF2E7F"/>
    <w:rsid w:val="00CF3C2E"/>
    <w:rsid w:val="00CF49A8"/>
    <w:rsid w:val="00CF4F53"/>
    <w:rsid w:val="00CF51E8"/>
    <w:rsid w:val="00CF674A"/>
    <w:rsid w:val="00CF6CED"/>
    <w:rsid w:val="00D00C8E"/>
    <w:rsid w:val="00D02454"/>
    <w:rsid w:val="00D0288F"/>
    <w:rsid w:val="00D02BB5"/>
    <w:rsid w:val="00D04D5B"/>
    <w:rsid w:val="00D057DD"/>
    <w:rsid w:val="00D05CF7"/>
    <w:rsid w:val="00D06E36"/>
    <w:rsid w:val="00D07C81"/>
    <w:rsid w:val="00D10538"/>
    <w:rsid w:val="00D111C5"/>
    <w:rsid w:val="00D113AC"/>
    <w:rsid w:val="00D119E0"/>
    <w:rsid w:val="00D11FFB"/>
    <w:rsid w:val="00D124A4"/>
    <w:rsid w:val="00D127DC"/>
    <w:rsid w:val="00D14244"/>
    <w:rsid w:val="00D160CC"/>
    <w:rsid w:val="00D16FFA"/>
    <w:rsid w:val="00D21CE3"/>
    <w:rsid w:val="00D21DB4"/>
    <w:rsid w:val="00D25960"/>
    <w:rsid w:val="00D312A1"/>
    <w:rsid w:val="00D319BB"/>
    <w:rsid w:val="00D33497"/>
    <w:rsid w:val="00D36831"/>
    <w:rsid w:val="00D3712B"/>
    <w:rsid w:val="00D374BB"/>
    <w:rsid w:val="00D401CD"/>
    <w:rsid w:val="00D4187B"/>
    <w:rsid w:val="00D423FC"/>
    <w:rsid w:val="00D4249B"/>
    <w:rsid w:val="00D4448D"/>
    <w:rsid w:val="00D454C2"/>
    <w:rsid w:val="00D459DF"/>
    <w:rsid w:val="00D517B4"/>
    <w:rsid w:val="00D53509"/>
    <w:rsid w:val="00D549CB"/>
    <w:rsid w:val="00D5593E"/>
    <w:rsid w:val="00D55B35"/>
    <w:rsid w:val="00D57044"/>
    <w:rsid w:val="00D609C0"/>
    <w:rsid w:val="00D61495"/>
    <w:rsid w:val="00D6511E"/>
    <w:rsid w:val="00D67DAF"/>
    <w:rsid w:val="00D70F99"/>
    <w:rsid w:val="00D7117F"/>
    <w:rsid w:val="00D72079"/>
    <w:rsid w:val="00D748F6"/>
    <w:rsid w:val="00D77768"/>
    <w:rsid w:val="00D80AF4"/>
    <w:rsid w:val="00D824C9"/>
    <w:rsid w:val="00D82EF3"/>
    <w:rsid w:val="00D8394F"/>
    <w:rsid w:val="00D84829"/>
    <w:rsid w:val="00D8509C"/>
    <w:rsid w:val="00D86B8D"/>
    <w:rsid w:val="00D87572"/>
    <w:rsid w:val="00D87CCC"/>
    <w:rsid w:val="00D90032"/>
    <w:rsid w:val="00D92794"/>
    <w:rsid w:val="00D932F1"/>
    <w:rsid w:val="00D93CEC"/>
    <w:rsid w:val="00D9639C"/>
    <w:rsid w:val="00D97984"/>
    <w:rsid w:val="00DA02DB"/>
    <w:rsid w:val="00DA07BF"/>
    <w:rsid w:val="00DA09CD"/>
    <w:rsid w:val="00DA0B6E"/>
    <w:rsid w:val="00DA1633"/>
    <w:rsid w:val="00DA17C4"/>
    <w:rsid w:val="00DA5041"/>
    <w:rsid w:val="00DA59D7"/>
    <w:rsid w:val="00DA77CB"/>
    <w:rsid w:val="00DB24E2"/>
    <w:rsid w:val="00DB39EC"/>
    <w:rsid w:val="00DB46D1"/>
    <w:rsid w:val="00DB5DAD"/>
    <w:rsid w:val="00DB69C7"/>
    <w:rsid w:val="00DC16B8"/>
    <w:rsid w:val="00DC451E"/>
    <w:rsid w:val="00DC47B3"/>
    <w:rsid w:val="00DC4F1F"/>
    <w:rsid w:val="00DC59D4"/>
    <w:rsid w:val="00DC6B8A"/>
    <w:rsid w:val="00DD0757"/>
    <w:rsid w:val="00DD2E27"/>
    <w:rsid w:val="00DD5566"/>
    <w:rsid w:val="00DD6F62"/>
    <w:rsid w:val="00DE077E"/>
    <w:rsid w:val="00DE35CE"/>
    <w:rsid w:val="00DE3A96"/>
    <w:rsid w:val="00DE4BAB"/>
    <w:rsid w:val="00DE5796"/>
    <w:rsid w:val="00DE659B"/>
    <w:rsid w:val="00DE70D0"/>
    <w:rsid w:val="00DE72C0"/>
    <w:rsid w:val="00DE7E0D"/>
    <w:rsid w:val="00DF232F"/>
    <w:rsid w:val="00DF2B1B"/>
    <w:rsid w:val="00DF2C41"/>
    <w:rsid w:val="00DF2C7A"/>
    <w:rsid w:val="00DF336E"/>
    <w:rsid w:val="00DF46CD"/>
    <w:rsid w:val="00DF68A3"/>
    <w:rsid w:val="00DF6DF8"/>
    <w:rsid w:val="00E010E7"/>
    <w:rsid w:val="00E012B4"/>
    <w:rsid w:val="00E02834"/>
    <w:rsid w:val="00E06B57"/>
    <w:rsid w:val="00E105B1"/>
    <w:rsid w:val="00E1102B"/>
    <w:rsid w:val="00E14686"/>
    <w:rsid w:val="00E147A3"/>
    <w:rsid w:val="00E14FFC"/>
    <w:rsid w:val="00E15A93"/>
    <w:rsid w:val="00E15EBE"/>
    <w:rsid w:val="00E16655"/>
    <w:rsid w:val="00E17F60"/>
    <w:rsid w:val="00E2042C"/>
    <w:rsid w:val="00E23540"/>
    <w:rsid w:val="00E23EFF"/>
    <w:rsid w:val="00E24AED"/>
    <w:rsid w:val="00E25095"/>
    <w:rsid w:val="00E262A5"/>
    <w:rsid w:val="00E26786"/>
    <w:rsid w:val="00E27180"/>
    <w:rsid w:val="00E272CA"/>
    <w:rsid w:val="00E27438"/>
    <w:rsid w:val="00E27A2B"/>
    <w:rsid w:val="00E30325"/>
    <w:rsid w:val="00E31931"/>
    <w:rsid w:val="00E32E80"/>
    <w:rsid w:val="00E35835"/>
    <w:rsid w:val="00E370B6"/>
    <w:rsid w:val="00E40BF6"/>
    <w:rsid w:val="00E4211F"/>
    <w:rsid w:val="00E421A5"/>
    <w:rsid w:val="00E4412A"/>
    <w:rsid w:val="00E447D4"/>
    <w:rsid w:val="00E455EF"/>
    <w:rsid w:val="00E479D6"/>
    <w:rsid w:val="00E51088"/>
    <w:rsid w:val="00E51B2E"/>
    <w:rsid w:val="00E52BF7"/>
    <w:rsid w:val="00E542D1"/>
    <w:rsid w:val="00E55AFB"/>
    <w:rsid w:val="00E56C79"/>
    <w:rsid w:val="00E56ED5"/>
    <w:rsid w:val="00E6065F"/>
    <w:rsid w:val="00E6243F"/>
    <w:rsid w:val="00E634BF"/>
    <w:rsid w:val="00E63E02"/>
    <w:rsid w:val="00E65996"/>
    <w:rsid w:val="00E7061A"/>
    <w:rsid w:val="00E71C07"/>
    <w:rsid w:val="00E72A16"/>
    <w:rsid w:val="00E72FD0"/>
    <w:rsid w:val="00E752D7"/>
    <w:rsid w:val="00E7655E"/>
    <w:rsid w:val="00E81301"/>
    <w:rsid w:val="00E81408"/>
    <w:rsid w:val="00E843DC"/>
    <w:rsid w:val="00E84BF8"/>
    <w:rsid w:val="00E871CA"/>
    <w:rsid w:val="00E90401"/>
    <w:rsid w:val="00E91B32"/>
    <w:rsid w:val="00E92BCE"/>
    <w:rsid w:val="00E92ED7"/>
    <w:rsid w:val="00E9361B"/>
    <w:rsid w:val="00E936E2"/>
    <w:rsid w:val="00E94578"/>
    <w:rsid w:val="00E9468D"/>
    <w:rsid w:val="00E97497"/>
    <w:rsid w:val="00EA3784"/>
    <w:rsid w:val="00EA434D"/>
    <w:rsid w:val="00EA4484"/>
    <w:rsid w:val="00EA5803"/>
    <w:rsid w:val="00EA5C65"/>
    <w:rsid w:val="00EA6546"/>
    <w:rsid w:val="00EA6DEC"/>
    <w:rsid w:val="00EA7E7E"/>
    <w:rsid w:val="00EB09DA"/>
    <w:rsid w:val="00EB09DF"/>
    <w:rsid w:val="00EB1240"/>
    <w:rsid w:val="00EB4B03"/>
    <w:rsid w:val="00EB5003"/>
    <w:rsid w:val="00EC24C5"/>
    <w:rsid w:val="00EC4304"/>
    <w:rsid w:val="00EC44E5"/>
    <w:rsid w:val="00EC4EE8"/>
    <w:rsid w:val="00EC6F20"/>
    <w:rsid w:val="00EC70AC"/>
    <w:rsid w:val="00ED167B"/>
    <w:rsid w:val="00ED2057"/>
    <w:rsid w:val="00ED4D5D"/>
    <w:rsid w:val="00ED5A5D"/>
    <w:rsid w:val="00ED5FD8"/>
    <w:rsid w:val="00ED6413"/>
    <w:rsid w:val="00ED6B9C"/>
    <w:rsid w:val="00ED77A5"/>
    <w:rsid w:val="00EE004D"/>
    <w:rsid w:val="00EE0CE4"/>
    <w:rsid w:val="00EE0E0C"/>
    <w:rsid w:val="00EE23FC"/>
    <w:rsid w:val="00EE26CA"/>
    <w:rsid w:val="00EE30AC"/>
    <w:rsid w:val="00EE40E2"/>
    <w:rsid w:val="00EE6260"/>
    <w:rsid w:val="00EE6713"/>
    <w:rsid w:val="00EE7224"/>
    <w:rsid w:val="00EE7F32"/>
    <w:rsid w:val="00EF1310"/>
    <w:rsid w:val="00EF1BFB"/>
    <w:rsid w:val="00EF1C69"/>
    <w:rsid w:val="00EF1EC7"/>
    <w:rsid w:val="00EF20E6"/>
    <w:rsid w:val="00EF6892"/>
    <w:rsid w:val="00EF7084"/>
    <w:rsid w:val="00F0085A"/>
    <w:rsid w:val="00F00EEF"/>
    <w:rsid w:val="00F04836"/>
    <w:rsid w:val="00F0486F"/>
    <w:rsid w:val="00F05232"/>
    <w:rsid w:val="00F07F78"/>
    <w:rsid w:val="00F12CE1"/>
    <w:rsid w:val="00F14056"/>
    <w:rsid w:val="00F15557"/>
    <w:rsid w:val="00F163C7"/>
    <w:rsid w:val="00F164A6"/>
    <w:rsid w:val="00F16D86"/>
    <w:rsid w:val="00F22A63"/>
    <w:rsid w:val="00F23AE3"/>
    <w:rsid w:val="00F259AE"/>
    <w:rsid w:val="00F300C9"/>
    <w:rsid w:val="00F3218C"/>
    <w:rsid w:val="00F36C4F"/>
    <w:rsid w:val="00F3735B"/>
    <w:rsid w:val="00F4004B"/>
    <w:rsid w:val="00F42FD9"/>
    <w:rsid w:val="00F43782"/>
    <w:rsid w:val="00F46A8A"/>
    <w:rsid w:val="00F47A6D"/>
    <w:rsid w:val="00F509E3"/>
    <w:rsid w:val="00F5162D"/>
    <w:rsid w:val="00F52619"/>
    <w:rsid w:val="00F52F61"/>
    <w:rsid w:val="00F533DE"/>
    <w:rsid w:val="00F556C3"/>
    <w:rsid w:val="00F6109E"/>
    <w:rsid w:val="00F63CA8"/>
    <w:rsid w:val="00F640C4"/>
    <w:rsid w:val="00F655CC"/>
    <w:rsid w:val="00F7119E"/>
    <w:rsid w:val="00F7357C"/>
    <w:rsid w:val="00F73DC8"/>
    <w:rsid w:val="00F75990"/>
    <w:rsid w:val="00F8123B"/>
    <w:rsid w:val="00F81FA0"/>
    <w:rsid w:val="00F82330"/>
    <w:rsid w:val="00F83B01"/>
    <w:rsid w:val="00F841EA"/>
    <w:rsid w:val="00F852F1"/>
    <w:rsid w:val="00F863DE"/>
    <w:rsid w:val="00F86A8B"/>
    <w:rsid w:val="00F912D2"/>
    <w:rsid w:val="00F91831"/>
    <w:rsid w:val="00F9368F"/>
    <w:rsid w:val="00F938BB"/>
    <w:rsid w:val="00F97358"/>
    <w:rsid w:val="00FA0C20"/>
    <w:rsid w:val="00FA312A"/>
    <w:rsid w:val="00FA32F8"/>
    <w:rsid w:val="00FA3B33"/>
    <w:rsid w:val="00FA469A"/>
    <w:rsid w:val="00FA5256"/>
    <w:rsid w:val="00FA5805"/>
    <w:rsid w:val="00FA655E"/>
    <w:rsid w:val="00FA6880"/>
    <w:rsid w:val="00FB073C"/>
    <w:rsid w:val="00FB0CF2"/>
    <w:rsid w:val="00FB1D6A"/>
    <w:rsid w:val="00FB26EB"/>
    <w:rsid w:val="00FB38A5"/>
    <w:rsid w:val="00FB402B"/>
    <w:rsid w:val="00FB6A9E"/>
    <w:rsid w:val="00FB6D9E"/>
    <w:rsid w:val="00FB752C"/>
    <w:rsid w:val="00FB79D3"/>
    <w:rsid w:val="00FB7BD1"/>
    <w:rsid w:val="00FC2D1A"/>
    <w:rsid w:val="00FC36EC"/>
    <w:rsid w:val="00FC4C25"/>
    <w:rsid w:val="00FD0165"/>
    <w:rsid w:val="00FD0ECE"/>
    <w:rsid w:val="00FD21E1"/>
    <w:rsid w:val="00FD2308"/>
    <w:rsid w:val="00FD317D"/>
    <w:rsid w:val="00FD3B4E"/>
    <w:rsid w:val="00FD6810"/>
    <w:rsid w:val="00FD6BB9"/>
    <w:rsid w:val="00FD7D54"/>
    <w:rsid w:val="00FE00FB"/>
    <w:rsid w:val="00FE35C0"/>
    <w:rsid w:val="00FE5095"/>
    <w:rsid w:val="00FE5249"/>
    <w:rsid w:val="00FE6068"/>
    <w:rsid w:val="00FE6EBB"/>
    <w:rsid w:val="00FF0575"/>
    <w:rsid w:val="00FF1308"/>
    <w:rsid w:val="00FF4D3C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4D4E9D-88D9-4CB1-91ED-6F593A91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89"/>
    <w:pPr>
      <w:spacing w:before="120"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umeraoNormal1"/>
    <w:link w:val="Ttulo1Char"/>
    <w:uiPriority w:val="9"/>
    <w:qFormat/>
    <w:rsid w:val="00037D79"/>
    <w:pPr>
      <w:keepNext/>
      <w:keepLines/>
      <w:numPr>
        <w:numId w:val="2"/>
      </w:numPr>
      <w:spacing w:before="240" w:after="240"/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E3046"/>
    <w:pPr>
      <w:keepNext/>
      <w:widowControl w:val="0"/>
      <w:tabs>
        <w:tab w:val="num" w:pos="0"/>
      </w:tabs>
      <w:suppressAutoHyphens/>
      <w:spacing w:before="0" w:after="0" w:line="360" w:lineRule="auto"/>
      <w:outlineLvl w:val="1"/>
    </w:pPr>
    <w:rPr>
      <w:rFonts w:ascii="Arial" w:eastAsia="Times New Roman" w:hAnsi="Arial"/>
      <w:b/>
      <w:kern w:val="1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20B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7A3F12"/>
    <w:pPr>
      <w:keepNext/>
      <w:widowControl w:val="0"/>
      <w:tabs>
        <w:tab w:val="num" w:pos="0"/>
      </w:tabs>
      <w:suppressAutoHyphens/>
      <w:spacing w:before="0" w:after="0" w:line="240" w:lineRule="auto"/>
      <w:outlineLvl w:val="3"/>
    </w:pPr>
    <w:rPr>
      <w:rFonts w:ascii="Arial" w:eastAsia="Times New Roman" w:hAnsi="Arial"/>
      <w:b/>
      <w:kern w:val="1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7A3F12"/>
    <w:pPr>
      <w:keepNext/>
      <w:widowControl w:val="0"/>
      <w:tabs>
        <w:tab w:val="num" w:pos="0"/>
      </w:tabs>
      <w:suppressAutoHyphens/>
      <w:spacing w:before="0" w:after="0" w:line="360" w:lineRule="auto"/>
      <w:outlineLvl w:val="4"/>
    </w:pPr>
    <w:rPr>
      <w:rFonts w:ascii="Arial" w:eastAsia="Times New Roman" w:hAnsi="Arial"/>
      <w:b/>
      <w:kern w:val="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2E334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37D79"/>
    <w:rPr>
      <w:rFonts w:ascii="Times New Roman" w:eastAsia="Times New Roman" w:hAnsi="Times New Roman"/>
      <w:b/>
      <w:bCs/>
      <w:sz w:val="24"/>
      <w:szCs w:val="2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844D0D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4D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4D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4D0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D0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44D0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D0D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D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D0D"/>
    <w:rPr>
      <w:rFonts w:ascii="Tahoma" w:hAnsi="Tahoma" w:cs="Tahoma"/>
      <w:sz w:val="16"/>
      <w:szCs w:val="16"/>
    </w:rPr>
  </w:style>
  <w:style w:type="paragraph" w:customStyle="1" w:styleId="ListadaApresentao">
    <w:name w:val="Lista da Apresentação"/>
    <w:basedOn w:val="PargrafodaLista"/>
    <w:link w:val="ListadaApresentaoChar"/>
    <w:qFormat/>
    <w:rsid w:val="00D14244"/>
    <w:pPr>
      <w:numPr>
        <w:numId w:val="1"/>
      </w:numPr>
      <w:spacing w:before="240" w:after="120"/>
      <w:ind w:left="907" w:hanging="198"/>
      <w:contextualSpacing w:val="0"/>
    </w:pPr>
  </w:style>
  <w:style w:type="paragraph" w:customStyle="1" w:styleId="NumeraoNormal1">
    <w:name w:val="Numeração Normal 1"/>
    <w:basedOn w:val="PargrafodaLista"/>
    <w:link w:val="NumeraoNormal1Char"/>
    <w:qFormat/>
    <w:rsid w:val="00B85B34"/>
    <w:pPr>
      <w:numPr>
        <w:ilvl w:val="1"/>
        <w:numId w:val="2"/>
      </w:numPr>
      <w:ind w:left="786"/>
      <w:contextualSpacing w:val="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7D6203"/>
    <w:rPr>
      <w:rFonts w:ascii="Times New Roman" w:hAnsi="Times New Roman"/>
      <w:sz w:val="24"/>
    </w:rPr>
  </w:style>
  <w:style w:type="character" w:customStyle="1" w:styleId="ListadaApresentaoChar">
    <w:name w:val="Lista da Apresentação Char"/>
    <w:basedOn w:val="PargrafodaListaChar"/>
    <w:link w:val="ListadaApresentao"/>
    <w:rsid w:val="007D6203"/>
    <w:rPr>
      <w:rFonts w:ascii="Times New Roman" w:hAnsi="Times New Roman"/>
      <w:sz w:val="24"/>
      <w:szCs w:val="22"/>
      <w:lang w:eastAsia="en-US"/>
    </w:rPr>
  </w:style>
  <w:style w:type="character" w:customStyle="1" w:styleId="NumeraoNormal1Char">
    <w:name w:val="Numeração Normal 1 Char"/>
    <w:basedOn w:val="PargrafodaListaChar"/>
    <w:link w:val="NumeraoNormal1"/>
    <w:rsid w:val="00B85B34"/>
    <w:rPr>
      <w:rFonts w:ascii="Times New Roman" w:hAnsi="Times New Roman"/>
      <w:sz w:val="24"/>
      <w:szCs w:val="22"/>
      <w:lang w:eastAsia="en-US"/>
    </w:rPr>
  </w:style>
  <w:style w:type="paragraph" w:customStyle="1" w:styleId="NumeraodeSegundoNvel">
    <w:name w:val="Numeração de Segundo Nível"/>
    <w:basedOn w:val="NumeraoNormal1"/>
    <w:link w:val="NumeraodeSegundoNvelChar"/>
    <w:qFormat/>
    <w:rsid w:val="00B95CEC"/>
    <w:pPr>
      <w:numPr>
        <w:ilvl w:val="2"/>
      </w:numPr>
      <w:tabs>
        <w:tab w:val="left" w:pos="851"/>
      </w:tabs>
      <w:ind w:left="1572"/>
    </w:pPr>
  </w:style>
  <w:style w:type="character" w:customStyle="1" w:styleId="Ttulo3Char">
    <w:name w:val="Título 3 Char"/>
    <w:basedOn w:val="Fontepargpadro"/>
    <w:link w:val="Ttulo3"/>
    <w:uiPriority w:val="9"/>
    <w:rsid w:val="00A20B8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umeraodeSegundoNvelChar">
    <w:name w:val="Numeração de Segundo Nível Char"/>
    <w:basedOn w:val="NumeraoNormal1Char"/>
    <w:link w:val="NumeraodeSegundoNvel"/>
    <w:rsid w:val="00B95CEC"/>
    <w:rPr>
      <w:rFonts w:ascii="Times New Roman" w:hAnsi="Times New Roman"/>
      <w:sz w:val="24"/>
      <w:szCs w:val="22"/>
      <w:lang w:eastAsia="en-US"/>
    </w:rPr>
  </w:style>
  <w:style w:type="character" w:customStyle="1" w:styleId="RecuodecorpodetextoChar">
    <w:name w:val="Recuo de corpo de texto Char"/>
    <w:link w:val="Recuodecorpodetexto"/>
    <w:semiHidden/>
    <w:rsid w:val="00A20B81"/>
    <w:rPr>
      <w:rFonts w:ascii="Times New Roman" w:eastAsia="Times New Roman" w:hAnsi="Times New Roman"/>
      <w:kern w:val="1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A20B81"/>
    <w:pPr>
      <w:widowControl w:val="0"/>
      <w:suppressAutoHyphens/>
      <w:spacing w:before="0" w:after="0" w:line="240" w:lineRule="auto"/>
      <w:ind w:left="4140" w:hanging="3432"/>
    </w:pPr>
    <w:rPr>
      <w:rFonts w:eastAsia="Times New Roman"/>
      <w:kern w:val="1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20B81"/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4E3046"/>
    <w:rPr>
      <w:rFonts w:ascii="Arial" w:eastAsia="Times New Roman" w:hAnsi="Arial" w:cs="Times New Roman"/>
      <w:b/>
      <w:kern w:val="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A3F12"/>
    <w:rPr>
      <w:rFonts w:ascii="Arial" w:eastAsia="Times New Roman" w:hAnsi="Arial" w:cs="Times New Roman"/>
      <w:b/>
      <w:kern w:val="1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A3F12"/>
    <w:rPr>
      <w:rFonts w:ascii="Arial" w:eastAsia="Times New Roman" w:hAnsi="Arial" w:cs="Times New Roman"/>
      <w:b/>
      <w:kern w:val="1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16634"/>
    <w:pPr>
      <w:widowControl w:val="0"/>
      <w:suppressAutoHyphens/>
      <w:spacing w:before="280" w:after="280" w:line="240" w:lineRule="auto"/>
      <w:jc w:val="left"/>
    </w:pPr>
    <w:rPr>
      <w:rFonts w:ascii="Arial Unicode MS" w:eastAsia="Arial Unicode MS" w:hAnsi="Arial Unicode MS" w:cs="Arial Unicode MS"/>
      <w:kern w:val="1"/>
      <w:szCs w:val="24"/>
      <w:lang w:eastAsia="pt-BR"/>
    </w:rPr>
  </w:style>
  <w:style w:type="paragraph" w:customStyle="1" w:styleId="western">
    <w:name w:val="western"/>
    <w:basedOn w:val="Normal"/>
    <w:rsid w:val="00A16634"/>
    <w:pPr>
      <w:spacing w:before="100" w:after="119" w:line="240" w:lineRule="auto"/>
      <w:jc w:val="left"/>
    </w:pPr>
    <w:rPr>
      <w:rFonts w:eastAsia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E00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04D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04D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DB2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D68FC"/>
    <w:pPr>
      <w:widowControl w:val="0"/>
      <w:suppressAutoHyphens/>
      <w:spacing w:before="0" w:after="120" w:line="240" w:lineRule="auto"/>
      <w:jc w:val="left"/>
    </w:pPr>
    <w:rPr>
      <w:rFonts w:eastAsia="Times New Roman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D68FC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Recuodecorpodetexto21">
    <w:name w:val="Recuo de corpo de texto 21"/>
    <w:basedOn w:val="Normal"/>
    <w:rsid w:val="007D68FC"/>
    <w:pPr>
      <w:tabs>
        <w:tab w:val="left" w:pos="-390"/>
        <w:tab w:val="left" w:pos="450"/>
      </w:tabs>
      <w:suppressAutoHyphens/>
      <w:spacing w:before="0" w:after="120" w:line="240" w:lineRule="auto"/>
      <w:ind w:left="450"/>
    </w:pPr>
    <w:rPr>
      <w:rFonts w:ascii="Arial" w:eastAsia="Arial" w:hAnsi="Arial" w:cs="Arial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8976F9"/>
    <w:pPr>
      <w:spacing w:before="0" w:line="240" w:lineRule="auto"/>
      <w:jc w:val="left"/>
    </w:pPr>
    <w:rPr>
      <w:rFonts w:ascii="Calibri" w:hAnsi="Calibri"/>
      <w:b/>
      <w:bCs/>
      <w:color w:val="4F81BD"/>
      <w:sz w:val="18"/>
      <w:szCs w:val="18"/>
    </w:rPr>
  </w:style>
  <w:style w:type="table" w:styleId="Tabelacomgrade">
    <w:name w:val="Table Grid"/>
    <w:basedOn w:val="Tabelanormal"/>
    <w:uiPriority w:val="59"/>
    <w:rsid w:val="007C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68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C2F7.17361D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filho\Desktop\Novo%20TR%20de%20Mat%20Esc\Modelo%20de%20T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6F9A-686C-4BAA-9498-FEEF6338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TR</Template>
  <TotalTime>2</TotalTime>
  <Pages>21</Pages>
  <Words>5170</Words>
  <Characters>27919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33023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http://www.ambafrance.org.br/saopaulo/portugues/sector_consular/vistos.htm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mtfilho</dc:creator>
  <cp:lastModifiedBy>Nathalia Rodrigues Cordeiro</cp:lastModifiedBy>
  <cp:revision>2</cp:revision>
  <cp:lastPrinted>2018-10-31T17:58:00Z</cp:lastPrinted>
  <dcterms:created xsi:type="dcterms:W3CDTF">2019-07-29T18:54:00Z</dcterms:created>
  <dcterms:modified xsi:type="dcterms:W3CDTF">2019-07-29T18:54:00Z</dcterms:modified>
</cp:coreProperties>
</file>