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698DA" w14:textId="77777777" w:rsidR="00D61174" w:rsidRDefault="00D61174">
      <w:pPr>
        <w:ind w:left="186" w:right="98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14:paraId="3BB2C068" w14:textId="77777777" w:rsidR="00D61174" w:rsidRDefault="002B625A">
      <w:pPr>
        <w:ind w:left="186" w:right="98"/>
        <w:jc w:val="center"/>
      </w:pPr>
      <w:r>
        <w:rPr>
          <w:b/>
        </w:rPr>
        <w:t>TERMO DE REFERÊNCIA PARA CONTRATAÇÃO DE SERVIÇO CONTINUADO COM DISPONIBILIZAÇÃO DE PESSOAL DA CONTRATADA DE FORMA PROLONGADA OU CONTÍNUA</w:t>
      </w:r>
    </w:p>
    <w:p w14:paraId="538C2E1F" w14:textId="77777777" w:rsidR="00D61174" w:rsidRDefault="00D61174">
      <w:pPr>
        <w:rPr>
          <w:color w:val="3D85C6"/>
        </w:rPr>
      </w:pPr>
    </w:p>
    <w:p w14:paraId="43D23B05" w14:textId="4622BD6C" w:rsidR="00D61174" w:rsidRDefault="002B625A">
      <w:pPr>
        <w:jc w:val="both"/>
        <w:rPr>
          <w:b/>
        </w:rPr>
      </w:pPr>
      <w:bookmarkStart w:id="2" w:name="_heading=h.30j0zll" w:colFirst="0" w:colLast="0"/>
      <w:bookmarkEnd w:id="2"/>
      <w:r>
        <w:rPr>
          <w:b/>
        </w:rPr>
        <w:t xml:space="preserve">1. </w:t>
      </w:r>
      <w:r w:rsidR="00262DBA">
        <w:rPr>
          <w:b/>
        </w:rPr>
        <w:t>OBJETIVO</w:t>
      </w:r>
    </w:p>
    <w:p w14:paraId="732F0DE6" w14:textId="77777777" w:rsidR="00D61174" w:rsidRDefault="00D61174">
      <w:pPr>
        <w:jc w:val="both"/>
        <w:rPr>
          <w:b/>
          <w:sz w:val="14"/>
          <w:szCs w:val="14"/>
        </w:rPr>
      </w:pPr>
    </w:p>
    <w:p w14:paraId="6F351DA6" w14:textId="08297691" w:rsidR="00D61174" w:rsidRDefault="009204E4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3BF5520" w14:textId="77777777" w:rsidR="00D61174" w:rsidRDefault="002B625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Justificativa da contratação</w:t>
      </w:r>
    </w:p>
    <w:p w14:paraId="3E319527" w14:textId="77777777" w:rsidR="00D61174" w:rsidRDefault="00D61174">
      <w:pPr>
        <w:pStyle w:val="Ttulo2"/>
        <w:jc w:val="both"/>
        <w:rPr>
          <w:b w:val="0"/>
          <w:color w:val="3D85C6"/>
          <w:sz w:val="12"/>
          <w:szCs w:val="12"/>
        </w:rPr>
      </w:pPr>
    </w:p>
    <w:p w14:paraId="0F33BB8F" w14:textId="067BEF7A" w:rsidR="00D61174" w:rsidRDefault="009204E4">
      <w:pPr>
        <w:pStyle w:val="Ttulo2"/>
        <w:jc w:val="both"/>
        <w:rPr>
          <w:b w:val="0"/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4EAF0DE0" w14:textId="3D789591" w:rsidR="00D61174" w:rsidRDefault="002B625A" w:rsidP="00D40CF3">
      <w:pPr>
        <w:ind w:left="142"/>
        <w:rPr>
          <w:b/>
        </w:rPr>
      </w:pPr>
      <w:r>
        <w:rPr>
          <w:b/>
        </w:rPr>
        <w:t>1.</w:t>
      </w:r>
      <w:r w:rsidR="001349BF">
        <w:rPr>
          <w:b/>
        </w:rPr>
        <w:t>1.1</w:t>
      </w:r>
      <w:r>
        <w:rPr>
          <w:b/>
        </w:rPr>
        <w:t xml:space="preserve">. </w:t>
      </w:r>
      <w:r>
        <w:rPr>
          <w:b/>
        </w:rPr>
        <w:tab/>
        <w:t>Justificativa do uso do Sistema de Registro de Preços</w:t>
      </w:r>
    </w:p>
    <w:p w14:paraId="7FD5DA3F" w14:textId="77777777" w:rsidR="009204E4" w:rsidRDefault="009204E4" w:rsidP="00D40CF3">
      <w:pPr>
        <w:ind w:left="142"/>
        <w:rPr>
          <w:b/>
        </w:rPr>
      </w:pPr>
    </w:p>
    <w:p w14:paraId="2CB43BAB" w14:textId="5A808FDD" w:rsidR="00D61174" w:rsidRDefault="002B625A" w:rsidP="00D40C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720"/>
        <w:jc w:val="both"/>
        <w:rPr>
          <w:b/>
          <w:color w:val="000000"/>
        </w:rPr>
      </w:pPr>
      <w:r>
        <w:rPr>
          <w:b/>
          <w:color w:val="000000"/>
        </w:rPr>
        <w:t>Instrumentos de planejamento</w:t>
      </w:r>
    </w:p>
    <w:p w14:paraId="1961DB2D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20"/>
        <w:jc w:val="both"/>
        <w:rPr>
          <w:b/>
          <w:color w:val="000000"/>
          <w:sz w:val="12"/>
          <w:szCs w:val="12"/>
        </w:rPr>
      </w:pPr>
    </w:p>
    <w:p w14:paraId="5A220ED5" w14:textId="27657C2F" w:rsidR="00D61174" w:rsidRDefault="009204E4">
      <w:pPr>
        <w:pStyle w:val="Ttulo2"/>
        <w:jc w:val="both"/>
        <w:rPr>
          <w:b w:val="0"/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47B38F42" w14:textId="0B28BC9A" w:rsidR="00825067" w:rsidRPr="00825067" w:rsidRDefault="00825067" w:rsidP="00825067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b/>
          <w:color w:val="000000"/>
        </w:rPr>
      </w:pPr>
      <w:r w:rsidRPr="00825067">
        <w:rPr>
          <w:b/>
          <w:color w:val="000000"/>
        </w:rPr>
        <w:t>Definição da natureza orçamentária</w:t>
      </w:r>
    </w:p>
    <w:p w14:paraId="4E8BB1F0" w14:textId="77777777" w:rsidR="00825067" w:rsidRDefault="00825067" w:rsidP="0082506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20"/>
        <w:jc w:val="both"/>
        <w:rPr>
          <w:b/>
          <w:color w:val="000000"/>
          <w:sz w:val="12"/>
          <w:szCs w:val="12"/>
        </w:rPr>
      </w:pPr>
    </w:p>
    <w:p w14:paraId="23916834" w14:textId="77777777" w:rsidR="009204E4" w:rsidRPr="009204E4" w:rsidRDefault="009204E4" w:rsidP="009204E4"/>
    <w:tbl>
      <w:tblPr>
        <w:tblStyle w:val="a1"/>
        <w:tblW w:w="80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9"/>
      </w:tblGrid>
      <w:tr w:rsidR="00825067" w14:paraId="72905EDC" w14:textId="77777777" w:rsidTr="001E73D6">
        <w:tc>
          <w:tcPr>
            <w:tcW w:w="8079" w:type="dxa"/>
            <w:shd w:val="clear" w:color="auto" w:fill="D9D9D9"/>
          </w:tcPr>
          <w:p w14:paraId="1A1BE256" w14:textId="77777777" w:rsidR="00825067" w:rsidRDefault="00825067" w:rsidP="001E7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As despesas com a execução do presente contrato correrão à conta das seguintes dotações orçamentárias, para o corrente exercício de ___________</w:t>
            </w:r>
          </w:p>
          <w:p w14:paraId="3AC6AAB9" w14:textId="77777777" w:rsidR="00825067" w:rsidRDefault="00825067" w:rsidP="001E7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9204E4" w14:paraId="28ECBE55" w14:textId="77777777" w:rsidTr="001E73D6">
        <w:tc>
          <w:tcPr>
            <w:tcW w:w="8079" w:type="dxa"/>
          </w:tcPr>
          <w:p w14:paraId="60629578" w14:textId="77777777" w:rsidR="009204E4" w:rsidRDefault="009204E4" w:rsidP="0092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Unidade Orçamentária (UO):</w:t>
            </w:r>
          </w:p>
          <w:p w14:paraId="25F0FB7D" w14:textId="69FB1507" w:rsidR="009204E4" w:rsidRDefault="009204E4" w:rsidP="0092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825067" w14:paraId="2E642F45" w14:textId="77777777" w:rsidTr="001E73D6">
        <w:tc>
          <w:tcPr>
            <w:tcW w:w="8079" w:type="dxa"/>
          </w:tcPr>
          <w:p w14:paraId="70649108" w14:textId="05B46525" w:rsidR="009204E4" w:rsidRDefault="009204E4" w:rsidP="0092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Programa de Trabalho (PT):</w:t>
            </w:r>
          </w:p>
          <w:p w14:paraId="75ED5F0B" w14:textId="77777777" w:rsidR="00825067" w:rsidRDefault="00825067" w:rsidP="0092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825067" w14:paraId="62804205" w14:textId="77777777" w:rsidTr="001E73D6">
        <w:tc>
          <w:tcPr>
            <w:tcW w:w="8079" w:type="dxa"/>
          </w:tcPr>
          <w:p w14:paraId="547630B9" w14:textId="25743531" w:rsidR="00825067" w:rsidRDefault="00825067" w:rsidP="001E7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Fonte de Recursos</w:t>
            </w:r>
            <w:r w:rsidR="009204E4">
              <w:rPr>
                <w:b/>
              </w:rPr>
              <w:t xml:space="preserve"> (FR)</w:t>
            </w:r>
            <w:r>
              <w:rPr>
                <w:b/>
              </w:rPr>
              <w:t>:</w:t>
            </w:r>
          </w:p>
          <w:p w14:paraId="55380E0F" w14:textId="77777777" w:rsidR="00825067" w:rsidRDefault="00825067" w:rsidP="001E73D6">
            <w:pPr>
              <w:jc w:val="both"/>
              <w:rPr>
                <w:b/>
              </w:rPr>
            </w:pPr>
          </w:p>
        </w:tc>
      </w:tr>
      <w:tr w:rsidR="00825067" w14:paraId="12244AD1" w14:textId="77777777" w:rsidTr="001E73D6">
        <w:tc>
          <w:tcPr>
            <w:tcW w:w="8079" w:type="dxa"/>
          </w:tcPr>
          <w:p w14:paraId="114DE7B7" w14:textId="016B4A4F" w:rsidR="009204E4" w:rsidRDefault="009204E4" w:rsidP="0092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 xml:space="preserve">Natureza da Despesa (ND):                             </w:t>
            </w:r>
          </w:p>
          <w:p w14:paraId="3A5CB8A4" w14:textId="77777777" w:rsidR="00825067" w:rsidRDefault="00825067" w:rsidP="0092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</w:p>
        </w:tc>
      </w:tr>
    </w:tbl>
    <w:p w14:paraId="0E42F70C" w14:textId="77777777" w:rsidR="00825067" w:rsidRDefault="00825067" w:rsidP="0082506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b/>
          <w:color w:val="000000"/>
        </w:rPr>
      </w:pPr>
    </w:p>
    <w:p w14:paraId="45288751" w14:textId="079699DC" w:rsidR="00825067" w:rsidRDefault="00825067" w:rsidP="0082506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1.4 Estruturação de Planilha de Composição de Custos</w:t>
      </w:r>
    </w:p>
    <w:p w14:paraId="3EDBF502" w14:textId="77777777" w:rsidR="00825067" w:rsidRDefault="00825067" w:rsidP="0082506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20"/>
        <w:jc w:val="both"/>
        <w:rPr>
          <w:b/>
          <w:color w:val="000000"/>
          <w:sz w:val="12"/>
          <w:szCs w:val="12"/>
        </w:rPr>
      </w:pPr>
    </w:p>
    <w:p w14:paraId="17532B9D" w14:textId="0E01523C" w:rsidR="00825067" w:rsidRDefault="009204E4" w:rsidP="0082506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A32E80E" w14:textId="77777777" w:rsidR="00825067" w:rsidRPr="00825067" w:rsidRDefault="00825067" w:rsidP="00825067"/>
    <w:p w14:paraId="07C9320A" w14:textId="77777777" w:rsidR="00D61174" w:rsidRDefault="002B6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DESCRIÇÃO DO OBJETO</w:t>
      </w:r>
    </w:p>
    <w:p w14:paraId="4C916BB8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hanging="720"/>
        <w:jc w:val="both"/>
        <w:rPr>
          <w:b/>
          <w:color w:val="000000"/>
        </w:rPr>
      </w:pPr>
      <w:r>
        <w:rPr>
          <w:b/>
          <w:color w:val="000000"/>
        </w:rPr>
        <w:t>Definição sucinta do Objeto</w:t>
      </w:r>
    </w:p>
    <w:p w14:paraId="01DE53A1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720"/>
        <w:jc w:val="both"/>
        <w:rPr>
          <w:b/>
          <w:color w:val="000000"/>
          <w:sz w:val="12"/>
          <w:szCs w:val="12"/>
        </w:rPr>
      </w:pPr>
    </w:p>
    <w:p w14:paraId="493AFC8A" w14:textId="19687EE7" w:rsidR="00D61174" w:rsidRDefault="009204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lastRenderedPageBreak/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76F704B0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Identificação dos itens, quantidades e unidades</w:t>
      </w:r>
    </w:p>
    <w:p w14:paraId="7D7BBA83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0EAF270F" w14:textId="36E90112" w:rsidR="00D61174" w:rsidRDefault="009204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000000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707A1A7A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Informações complementares</w:t>
      </w:r>
    </w:p>
    <w:p w14:paraId="1756A4B9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71F9FDFC" w14:textId="2833458A" w:rsidR="00D61174" w:rsidRDefault="009204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1E918FE7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Definição da natureza do serviço</w:t>
      </w:r>
    </w:p>
    <w:p w14:paraId="514A655D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2E1F6F76" w14:textId="78556335" w:rsidR="00D61174" w:rsidRDefault="009204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0703D112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000000"/>
          <w:sz w:val="8"/>
          <w:szCs w:val="8"/>
        </w:rPr>
      </w:pPr>
    </w:p>
    <w:p w14:paraId="3235BD83" w14:textId="77777777" w:rsidR="00D61174" w:rsidRDefault="00D61174"/>
    <w:p w14:paraId="52B41C43" w14:textId="77777777" w:rsidR="00D61174" w:rsidRDefault="002B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DESCRIÇÃO DA SOLUÇÃO</w:t>
      </w:r>
    </w:p>
    <w:p w14:paraId="62AD0FBA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Forma de execução</w:t>
      </w:r>
    </w:p>
    <w:p w14:paraId="24414729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7753BBA5" w14:textId="77D7E8DA" w:rsidR="00D61174" w:rsidRDefault="009204E4">
      <w:pPr>
        <w:pStyle w:val="Ttulo2"/>
        <w:jc w:val="both"/>
        <w:rPr>
          <w:b w:val="0"/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2529B48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Duração do contrato</w:t>
      </w:r>
    </w:p>
    <w:p w14:paraId="161BFA31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75D54F97" w14:textId="6807A9A8" w:rsidR="00D61174" w:rsidRDefault="009204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135B460D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Reajuste de preços</w:t>
      </w:r>
    </w:p>
    <w:p w14:paraId="2F9B0D4E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6A5A4618" w14:textId="7CFF888A" w:rsidR="00D61174" w:rsidRDefault="009204E4">
      <w:pPr>
        <w:pStyle w:val="Ttulo2"/>
        <w:jc w:val="both"/>
        <w:rPr>
          <w:b w:val="0"/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44001FA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Garantia</w:t>
      </w:r>
    </w:p>
    <w:p w14:paraId="4698A5F1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396B6304" w14:textId="0550E128" w:rsidR="00D61174" w:rsidRDefault="009204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8F8CAF8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Critérios e práticas de sustentabilidade</w:t>
      </w:r>
    </w:p>
    <w:p w14:paraId="6B8F67BB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778B5064" w14:textId="5C5A681D" w:rsidR="00D61174" w:rsidRDefault="009204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3697F60E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Possibilidade de subcontratação</w:t>
      </w:r>
    </w:p>
    <w:p w14:paraId="7EC735F3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3356EEFA" w14:textId="17697A8A" w:rsidR="00D61174" w:rsidRDefault="009204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91AB248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Possibilidade de participação de Consórcio</w:t>
      </w:r>
    </w:p>
    <w:p w14:paraId="0036363F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6BD9B7B0" w14:textId="69CFC732" w:rsidR="00D61174" w:rsidRDefault="009204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1A68CC15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Possibilidade de participação de Cooperativa</w:t>
      </w:r>
    </w:p>
    <w:p w14:paraId="4169FFE5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1CCC6BE1" w14:textId="4A22E849" w:rsidR="00D61174" w:rsidRDefault="00430F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69535587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Incidência do Programa de Integridade</w:t>
      </w:r>
    </w:p>
    <w:p w14:paraId="3D04FE20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136F0F52" w14:textId="3802CF09" w:rsidR="00D61174" w:rsidRDefault="00430F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6AB84CC" w14:textId="11E94F20" w:rsidR="00D61174" w:rsidRDefault="008250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Obrigações </w:t>
      </w:r>
      <w:r w:rsidR="002B625A">
        <w:rPr>
          <w:b/>
          <w:color w:val="000000"/>
        </w:rPr>
        <w:t>das partes</w:t>
      </w:r>
    </w:p>
    <w:p w14:paraId="1D124EF1" w14:textId="4ACA645C" w:rsidR="00D61174" w:rsidRDefault="0082506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Obrigações do Órgão Participante/C</w:t>
      </w:r>
      <w:r w:rsidR="002B625A">
        <w:rPr>
          <w:b/>
          <w:color w:val="000000"/>
        </w:rPr>
        <w:t>ontratante</w:t>
      </w:r>
    </w:p>
    <w:p w14:paraId="626B3C4E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4F1CD551" w14:textId="3FFE44C0" w:rsidR="00D61174" w:rsidRDefault="00430F33" w:rsidP="00430F33">
      <w:pPr>
        <w:pStyle w:val="Ttulo2"/>
        <w:jc w:val="both"/>
        <w:rPr>
          <w:b w:val="0"/>
          <w:color w:val="000000"/>
          <w:sz w:val="12"/>
          <w:szCs w:val="12"/>
        </w:rPr>
      </w:pPr>
      <w:r>
        <w:rPr>
          <w:color w:val="3D85C6"/>
        </w:rPr>
        <w:lastRenderedPageBreak/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0307053" w14:textId="20A1E3EA" w:rsidR="00D61174" w:rsidRDefault="0082506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Obrigações do Fornecedor/</w:t>
      </w:r>
      <w:r w:rsidR="00452B48">
        <w:rPr>
          <w:b/>
          <w:color w:val="000000"/>
        </w:rPr>
        <w:t>C</w:t>
      </w:r>
      <w:r w:rsidR="002B625A">
        <w:rPr>
          <w:b/>
          <w:color w:val="000000"/>
        </w:rPr>
        <w:t>ontratad</w:t>
      </w:r>
      <w:r w:rsidR="00681CDA">
        <w:rPr>
          <w:b/>
          <w:color w:val="000000"/>
        </w:rPr>
        <w:t>o</w:t>
      </w:r>
    </w:p>
    <w:p w14:paraId="7D51E934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4A6C73EA" w14:textId="5999D1B1" w:rsidR="00D61174" w:rsidRDefault="00430F33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131F6B3D" w14:textId="4C10A7B6" w:rsidR="00825067" w:rsidRDefault="00825067" w:rsidP="0082506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84"/>
        </w:tabs>
        <w:suppressAutoHyphens/>
        <w:spacing w:before="120" w:line="240" w:lineRule="auto"/>
        <w:ind w:hanging="1440"/>
        <w:jc w:val="both"/>
        <w:rPr>
          <w:b/>
          <w:color w:val="000000"/>
        </w:rPr>
      </w:pPr>
      <w:r>
        <w:rPr>
          <w:b/>
          <w:color w:val="000000"/>
        </w:rPr>
        <w:t xml:space="preserve"> Obrigações do Órgão Gerenciador</w:t>
      </w:r>
    </w:p>
    <w:p w14:paraId="29F2127A" w14:textId="77777777" w:rsidR="0026566A" w:rsidRPr="0026566A" w:rsidRDefault="0026566A" w:rsidP="00825067">
      <w:pPr>
        <w:pStyle w:val="Ttulo2"/>
        <w:jc w:val="both"/>
        <w:rPr>
          <w:color w:val="3D85C6"/>
          <w:sz w:val="10"/>
          <w:szCs w:val="10"/>
        </w:rPr>
      </w:pPr>
    </w:p>
    <w:p w14:paraId="1651D6D0" w14:textId="761DE7A9" w:rsidR="00825067" w:rsidRDefault="00430F33" w:rsidP="0082506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3DA7B3F2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Fornecimento de materiais</w:t>
      </w:r>
    </w:p>
    <w:p w14:paraId="65AF1FE1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2B990284" w14:textId="04D63AF0" w:rsidR="00D61174" w:rsidRDefault="004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8025E31" w14:textId="77777777" w:rsidR="00D61174" w:rsidRDefault="002B625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Materiais a serem disponibilizados</w:t>
      </w:r>
    </w:p>
    <w:p w14:paraId="7DE44847" w14:textId="3D99D88E" w:rsidR="00D61174" w:rsidRDefault="00430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39B5BAC3" w14:textId="77777777" w:rsidR="00D61174" w:rsidRDefault="002B625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Materiais não previstos em contrato</w:t>
      </w:r>
    </w:p>
    <w:p w14:paraId="0BCAA522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782DB81B" w14:textId="38EE2FBA" w:rsidR="00D61174" w:rsidRDefault="00430F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0CFCCAD7" w14:textId="77777777" w:rsidR="00D61174" w:rsidRDefault="002B625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Uniformes e equipamentos de proteção individual (EPI)</w:t>
      </w:r>
    </w:p>
    <w:p w14:paraId="58FE444A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2D8EAED7" w14:textId="545F71CA" w:rsidR="00D61174" w:rsidRDefault="00430F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55D62D6B" w14:textId="77777777" w:rsidR="00D61174" w:rsidRDefault="00D61174"/>
    <w:p w14:paraId="14994E5F" w14:textId="77777777" w:rsidR="00D61174" w:rsidRDefault="002B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REQUISITOS MÍNIMOS PARA EXECUÇÃO</w:t>
      </w:r>
    </w:p>
    <w:p w14:paraId="58604696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Qualificação Técnica e Operacional</w:t>
      </w:r>
    </w:p>
    <w:p w14:paraId="0080CB8D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680D98A4" w14:textId="18E9944B" w:rsidR="00D61174" w:rsidRDefault="00430F33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CA5C32A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Autorizações e Licenças necessárias para a Execução do Objeto</w:t>
      </w:r>
    </w:p>
    <w:p w14:paraId="2E3D03AA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75C26FB0" w14:textId="7A1A6394" w:rsidR="00D61174" w:rsidRDefault="00430F33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3F43B876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00" w:line="240" w:lineRule="auto"/>
        <w:ind w:left="720" w:hanging="720"/>
        <w:jc w:val="both"/>
        <w:rPr>
          <w:b/>
          <w:color w:val="000000"/>
        </w:rPr>
      </w:pPr>
    </w:p>
    <w:p w14:paraId="240854B8" w14:textId="77777777" w:rsidR="00D61174" w:rsidRDefault="002B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GESTÃO E FISCALIZAÇÃO DO CONTRATO</w:t>
      </w:r>
    </w:p>
    <w:p w14:paraId="6EA6E61E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Agentes que participarão da gestão do contrato</w:t>
      </w:r>
    </w:p>
    <w:p w14:paraId="13D6ED7C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376166C5" w14:textId="665017A7" w:rsidR="00D61174" w:rsidRDefault="00430F33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EB05A4D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Mecanismos de comunicação a serem estabelecidos</w:t>
      </w:r>
    </w:p>
    <w:p w14:paraId="3E85016E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0F94C16A" w14:textId="04C9F125" w:rsidR="00D61174" w:rsidRDefault="00430F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58CCBAED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Critérios de medição por Acordo de Nível de Serviço</w:t>
      </w:r>
    </w:p>
    <w:p w14:paraId="412BF183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4DDCF925" w14:textId="6263C162" w:rsidR="00D61174" w:rsidRDefault="00430F33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314ED004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Fiscalização da execução do serviço</w:t>
      </w:r>
    </w:p>
    <w:p w14:paraId="378EFF8C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03EE6C63" w14:textId="61B22123" w:rsidR="00D61174" w:rsidRDefault="00430F33">
      <w:pPr>
        <w:pStyle w:val="Ttulo2"/>
        <w:jc w:val="both"/>
        <w:rPr>
          <w:color w:val="3D85C6"/>
        </w:rPr>
      </w:pPr>
      <w:r>
        <w:rPr>
          <w:color w:val="3D85C6"/>
        </w:rPr>
        <w:lastRenderedPageBreak/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CC0D33A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Fiscalização do cumprimento das obrigações trabalhistas</w:t>
      </w:r>
    </w:p>
    <w:p w14:paraId="3C7439ED" w14:textId="77777777" w:rsidR="00D61174" w:rsidRDefault="002B62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  <w:r>
        <w:rPr>
          <w:b/>
          <w:color w:val="000000"/>
        </w:rPr>
        <w:t xml:space="preserve"> </w:t>
      </w:r>
    </w:p>
    <w:p w14:paraId="51DF1BA1" w14:textId="24ED4A6B" w:rsidR="00D61174" w:rsidRDefault="00430F33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7733C3DB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Recebimento provisório e definitivo do objeto</w:t>
      </w:r>
    </w:p>
    <w:p w14:paraId="17ED96A2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567"/>
        <w:jc w:val="both"/>
        <w:rPr>
          <w:color w:val="000000"/>
          <w:sz w:val="12"/>
          <w:szCs w:val="12"/>
        </w:rPr>
      </w:pPr>
    </w:p>
    <w:p w14:paraId="10B871E3" w14:textId="48C9E5E7" w:rsidR="00D61174" w:rsidRDefault="00430F33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EF5CB50" w14:textId="77777777" w:rsidR="00D61174" w:rsidRDefault="002B62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Pagamento</w:t>
      </w:r>
    </w:p>
    <w:p w14:paraId="0685783C" w14:textId="719C1EA1" w:rsidR="00D61174" w:rsidRDefault="00430F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496243CD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bookmarkStart w:id="3" w:name="_heading=h.1fob9te" w:colFirst="0" w:colLast="0"/>
      <w:bookmarkEnd w:id="3"/>
    </w:p>
    <w:p w14:paraId="240CB85D" w14:textId="227F941A" w:rsidR="00FA11E4" w:rsidRDefault="00FA11E4" w:rsidP="00E028D7">
      <w:pPr>
        <w:pStyle w:val="Ttulo1"/>
        <w:numPr>
          <w:ilvl w:val="0"/>
          <w:numId w:val="2"/>
        </w:numPr>
        <w:tabs>
          <w:tab w:val="left" w:pos="461"/>
        </w:tabs>
        <w:jc w:val="left"/>
      </w:pPr>
      <w:r>
        <w:t>JULGAMENTO DAS PROPOSTAS E CRITÉRIOS DE PREÇOS</w:t>
      </w:r>
    </w:p>
    <w:p w14:paraId="75511273" w14:textId="5838F18E" w:rsidR="00FA11E4" w:rsidRPr="00E028D7" w:rsidRDefault="00430F33" w:rsidP="00E028D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1B9D606E" w14:textId="77777777" w:rsidR="00FA11E4" w:rsidRDefault="00FA11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</w:pPr>
    </w:p>
    <w:p w14:paraId="1B3E90D2" w14:textId="77777777" w:rsidR="00D61174" w:rsidRDefault="002B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RESPONSÁVEIS PELA ELABORAÇÃO DO TERMO DE REFERÊNCIA</w:t>
      </w:r>
    </w:p>
    <w:p w14:paraId="0CEFE0EA" w14:textId="434744E5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tbl>
      <w:tblPr>
        <w:tblStyle w:val="a2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D61174" w14:paraId="726844CE" w14:textId="77777777">
        <w:tc>
          <w:tcPr>
            <w:tcW w:w="7229" w:type="dxa"/>
            <w:shd w:val="clear" w:color="auto" w:fill="D9D9D9"/>
          </w:tcPr>
          <w:p w14:paraId="69941EA3" w14:textId="77777777" w:rsidR="00D61174" w:rsidRDefault="002B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center"/>
              <w:rPr>
                <w:b/>
                <w:color w:val="3D85C6"/>
              </w:rPr>
            </w:pPr>
            <w:r>
              <w:rPr>
                <w:b/>
                <w:color w:val="000000"/>
              </w:rPr>
              <w:t>Elaborador do Termo de Referência</w:t>
            </w:r>
          </w:p>
        </w:tc>
      </w:tr>
      <w:tr w:rsidR="00D61174" w14:paraId="03866249" w14:textId="77777777">
        <w:tc>
          <w:tcPr>
            <w:tcW w:w="7229" w:type="dxa"/>
          </w:tcPr>
          <w:p w14:paraId="25247AC3" w14:textId="77777777" w:rsidR="00D61174" w:rsidRDefault="002B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D61174" w14:paraId="0DB2D2FE" w14:textId="77777777">
        <w:tc>
          <w:tcPr>
            <w:tcW w:w="7229" w:type="dxa"/>
          </w:tcPr>
          <w:p w14:paraId="55753D05" w14:textId="77777777" w:rsidR="00D61174" w:rsidRDefault="002B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</w:tr>
      <w:tr w:rsidR="00D61174" w14:paraId="7C3396F1" w14:textId="77777777">
        <w:tc>
          <w:tcPr>
            <w:tcW w:w="7229" w:type="dxa"/>
          </w:tcPr>
          <w:p w14:paraId="20551C83" w14:textId="77777777" w:rsidR="00D61174" w:rsidRDefault="002B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Funcional:</w:t>
            </w:r>
          </w:p>
        </w:tc>
      </w:tr>
    </w:tbl>
    <w:p w14:paraId="62329515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tbl>
      <w:tblPr>
        <w:tblStyle w:val="a3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D61174" w14:paraId="701843E1" w14:textId="77777777">
        <w:tc>
          <w:tcPr>
            <w:tcW w:w="7229" w:type="dxa"/>
            <w:shd w:val="clear" w:color="auto" w:fill="D9D9D9"/>
          </w:tcPr>
          <w:p w14:paraId="498E3872" w14:textId="77777777" w:rsidR="00D61174" w:rsidRDefault="002B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center"/>
              <w:rPr>
                <w:b/>
                <w:color w:val="3D85C6"/>
              </w:rPr>
            </w:pPr>
            <w:r>
              <w:rPr>
                <w:b/>
                <w:color w:val="000000"/>
              </w:rPr>
              <w:t>Elaborador do Termo de Referência</w:t>
            </w:r>
          </w:p>
        </w:tc>
      </w:tr>
      <w:tr w:rsidR="00D61174" w14:paraId="519DDEE7" w14:textId="77777777">
        <w:tc>
          <w:tcPr>
            <w:tcW w:w="7229" w:type="dxa"/>
          </w:tcPr>
          <w:p w14:paraId="6DF1001A" w14:textId="77777777" w:rsidR="00D61174" w:rsidRDefault="002B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D61174" w14:paraId="4D750FEC" w14:textId="77777777">
        <w:tc>
          <w:tcPr>
            <w:tcW w:w="7229" w:type="dxa"/>
          </w:tcPr>
          <w:p w14:paraId="307D2EB1" w14:textId="77777777" w:rsidR="00D61174" w:rsidRDefault="002B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</w:tr>
      <w:tr w:rsidR="00D61174" w14:paraId="10232E38" w14:textId="77777777">
        <w:tc>
          <w:tcPr>
            <w:tcW w:w="7229" w:type="dxa"/>
          </w:tcPr>
          <w:p w14:paraId="1EF09F7D" w14:textId="77777777" w:rsidR="00D61174" w:rsidRDefault="002B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Funcional:</w:t>
            </w:r>
          </w:p>
        </w:tc>
      </w:tr>
    </w:tbl>
    <w:p w14:paraId="30B0C97A" w14:textId="77777777" w:rsidR="00D61174" w:rsidRDefault="00D6117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p w14:paraId="7B9206C1" w14:textId="2F075006" w:rsidR="00E028D7" w:rsidRPr="00E028D7" w:rsidRDefault="00E028D7" w:rsidP="00E028D7">
      <w:pPr>
        <w:pStyle w:val="PargrafodaLista"/>
        <w:widowControl w:val="0"/>
        <w:numPr>
          <w:ilvl w:val="0"/>
          <w:numId w:val="2"/>
        </w:numPr>
        <w:spacing w:line="240" w:lineRule="auto"/>
        <w:rPr>
          <w:b/>
          <w:color w:val="000000"/>
        </w:rPr>
      </w:pPr>
      <w:r w:rsidRPr="00E028D7">
        <w:rPr>
          <w:b/>
          <w:color w:val="000000"/>
        </w:rPr>
        <w:t>APÊNDICES</w:t>
      </w:r>
    </w:p>
    <w:p w14:paraId="2C1A143F" w14:textId="77777777" w:rsidR="00E028D7" w:rsidRDefault="00E028D7" w:rsidP="00E028D7">
      <w:pPr>
        <w:ind w:left="101"/>
        <w:rPr>
          <w:b/>
          <w:color w:val="000000"/>
          <w:sz w:val="34"/>
          <w:szCs w:val="34"/>
        </w:rPr>
      </w:pPr>
    </w:p>
    <w:p w14:paraId="7F8791B8" w14:textId="263F98A7" w:rsidR="00E028D7" w:rsidRDefault="00430F33" w:rsidP="00E028D7">
      <w:pPr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092E0A77" w14:textId="7B362F35" w:rsidR="00D61174" w:rsidRDefault="00D61174"/>
    <w:sectPr w:rsidR="00D61174"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F7DD6" w14:textId="77777777" w:rsidR="00BF35D9" w:rsidRDefault="00BF35D9">
      <w:pPr>
        <w:spacing w:line="240" w:lineRule="auto"/>
      </w:pPr>
      <w:r>
        <w:separator/>
      </w:r>
    </w:p>
  </w:endnote>
  <w:endnote w:type="continuationSeparator" w:id="0">
    <w:p w14:paraId="01834556" w14:textId="77777777" w:rsidR="00BF35D9" w:rsidRDefault="00BF3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8622" w14:textId="77777777" w:rsidR="00BF35D9" w:rsidRDefault="00BF35D9">
      <w:pPr>
        <w:spacing w:line="240" w:lineRule="auto"/>
      </w:pPr>
      <w:r>
        <w:separator/>
      </w:r>
    </w:p>
  </w:footnote>
  <w:footnote w:type="continuationSeparator" w:id="0">
    <w:p w14:paraId="467B271B" w14:textId="77777777" w:rsidR="00BF35D9" w:rsidRDefault="00BF3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F8DC8" w14:textId="77777777" w:rsidR="00D61174" w:rsidRDefault="002B625A">
    <w:pPr>
      <w:spacing w:line="240" w:lineRule="auto"/>
      <w:jc w:val="center"/>
    </w:pPr>
    <w:r>
      <w:rPr>
        <w:noProof/>
      </w:rPr>
      <w:drawing>
        <wp:inline distT="114300" distB="114300" distL="114300" distR="114300" wp14:anchorId="19DD9E01" wp14:editId="660354D1">
          <wp:extent cx="876300" cy="1028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5EEF19" w14:textId="77777777" w:rsidR="00D61174" w:rsidRDefault="002B625A">
    <w:pPr>
      <w:spacing w:line="240" w:lineRule="auto"/>
      <w:jc w:val="center"/>
      <w:rPr>
        <w:color w:val="444444"/>
        <w:sz w:val="18"/>
        <w:szCs w:val="18"/>
      </w:rPr>
    </w:pPr>
    <w:r>
      <w:rPr>
        <w:color w:val="444444"/>
        <w:sz w:val="18"/>
        <w:szCs w:val="18"/>
      </w:rPr>
      <w:t>Governo do Estado do Rio de Janeiro</w:t>
    </w:r>
  </w:p>
  <w:p w14:paraId="6EC25596" w14:textId="77777777" w:rsidR="00042404" w:rsidRDefault="00042404" w:rsidP="00042404">
    <w:pPr>
      <w:spacing w:line="240" w:lineRule="auto"/>
      <w:jc w:val="center"/>
      <w:rPr>
        <w:color w:val="434343"/>
        <w:sz w:val="18"/>
        <w:szCs w:val="18"/>
      </w:rPr>
    </w:pPr>
    <w:r>
      <w:rPr>
        <w:color w:val="434343"/>
        <w:sz w:val="18"/>
        <w:szCs w:val="18"/>
      </w:rPr>
      <w:t>Universidade Estadual do Norte Fluminense Darcy Ribeiro</w:t>
    </w:r>
  </w:p>
  <w:p w14:paraId="36739207" w14:textId="77777777" w:rsidR="00D61174" w:rsidRDefault="002B625A">
    <w:pPr>
      <w:spacing w:line="240" w:lineRule="auto"/>
      <w:jc w:val="center"/>
      <w:rPr>
        <w:color w:val="3D85C6"/>
        <w:sz w:val="18"/>
        <w:szCs w:val="18"/>
      </w:rPr>
    </w:pPr>
    <w:r>
      <w:rPr>
        <w:color w:val="3D85C6"/>
        <w:sz w:val="18"/>
        <w:szCs w:val="18"/>
      </w:rPr>
      <w:t>&lt;Setor&gt;</w:t>
    </w:r>
  </w:p>
  <w:p w14:paraId="0AB5F03C" w14:textId="77777777" w:rsidR="00D61174" w:rsidRDefault="00D61174">
    <w:pPr>
      <w:spacing w:line="240" w:lineRule="auto"/>
      <w:jc w:val="center"/>
      <w:rPr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A0C"/>
    <w:multiLevelType w:val="multilevel"/>
    <w:tmpl w:val="EAE26E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08F300C2"/>
    <w:multiLevelType w:val="multilevel"/>
    <w:tmpl w:val="A5DC8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8F1502"/>
    <w:multiLevelType w:val="multilevel"/>
    <w:tmpl w:val="285A5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D76150"/>
    <w:multiLevelType w:val="multilevel"/>
    <w:tmpl w:val="F6408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E5422F"/>
    <w:multiLevelType w:val="multilevel"/>
    <w:tmpl w:val="8ED85D8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65552"/>
    <w:multiLevelType w:val="multilevel"/>
    <w:tmpl w:val="54A81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74"/>
    <w:rsid w:val="00042404"/>
    <w:rsid w:val="00090FA2"/>
    <w:rsid w:val="000E4F0D"/>
    <w:rsid w:val="00117AD0"/>
    <w:rsid w:val="001349BF"/>
    <w:rsid w:val="00261651"/>
    <w:rsid w:val="00262DBA"/>
    <w:rsid w:val="0026566A"/>
    <w:rsid w:val="002B625A"/>
    <w:rsid w:val="00430F33"/>
    <w:rsid w:val="00452B48"/>
    <w:rsid w:val="00681CDA"/>
    <w:rsid w:val="00746D6B"/>
    <w:rsid w:val="00825067"/>
    <w:rsid w:val="008A1D5D"/>
    <w:rsid w:val="008B68E3"/>
    <w:rsid w:val="009204E4"/>
    <w:rsid w:val="00927E87"/>
    <w:rsid w:val="00A06C4F"/>
    <w:rsid w:val="00A925B4"/>
    <w:rsid w:val="00AA0FF6"/>
    <w:rsid w:val="00BF35D9"/>
    <w:rsid w:val="00D40CF3"/>
    <w:rsid w:val="00D61174"/>
    <w:rsid w:val="00E028D7"/>
    <w:rsid w:val="00F93212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3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paragraph" w:customStyle="1" w:styleId="Padro">
    <w:name w:val="Padrão"/>
    <w:qFormat/>
    <w:rsid w:val="00DD7D44"/>
    <w:pPr>
      <w:tabs>
        <w:tab w:val="left" w:pos="708"/>
      </w:tabs>
      <w:suppressAutoHyphens/>
      <w:spacing w:after="160" w:line="256" w:lineRule="auto"/>
    </w:pPr>
    <w:rPr>
      <w:rFonts w:eastAsia="SimSun" w:cs="Mangal"/>
      <w:lang w:eastAsia="zh-CN" w:bidi="hi-IN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2D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2D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2D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2D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2DB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424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404"/>
  </w:style>
  <w:style w:type="paragraph" w:styleId="Rodap">
    <w:name w:val="footer"/>
    <w:basedOn w:val="Normal"/>
    <w:link w:val="RodapChar"/>
    <w:uiPriority w:val="99"/>
    <w:unhideWhenUsed/>
    <w:rsid w:val="000424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paragraph" w:customStyle="1" w:styleId="Padro">
    <w:name w:val="Padrão"/>
    <w:qFormat/>
    <w:rsid w:val="00DD7D44"/>
    <w:pPr>
      <w:tabs>
        <w:tab w:val="left" w:pos="708"/>
      </w:tabs>
      <w:suppressAutoHyphens/>
      <w:spacing w:after="160" w:line="256" w:lineRule="auto"/>
    </w:pPr>
    <w:rPr>
      <w:rFonts w:eastAsia="SimSun" w:cs="Mangal"/>
      <w:lang w:eastAsia="zh-CN" w:bidi="hi-IN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2D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2D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2D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2D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2DB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424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404"/>
  </w:style>
  <w:style w:type="paragraph" w:styleId="Rodap">
    <w:name w:val="footer"/>
    <w:basedOn w:val="Normal"/>
    <w:link w:val="RodapChar"/>
    <w:uiPriority w:val="99"/>
    <w:unhideWhenUsed/>
    <w:rsid w:val="000424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ZAgzesMmFw/PeJnLRJrNrmYcw==">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Leone</dc:creator>
  <cp:lastModifiedBy>uenf</cp:lastModifiedBy>
  <cp:revision>7</cp:revision>
  <dcterms:created xsi:type="dcterms:W3CDTF">2021-10-13T19:13:00Z</dcterms:created>
  <dcterms:modified xsi:type="dcterms:W3CDTF">2024-01-10T15:19:00Z</dcterms:modified>
</cp:coreProperties>
</file>