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0E" w:rsidRDefault="00C8250E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250E" w:rsidRDefault="00C8250E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250E" w:rsidRDefault="00C8250E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250E" w:rsidRDefault="00C8250E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779D" w:rsidRDefault="00DD779D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779D" w:rsidRDefault="00DD779D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779D" w:rsidRDefault="00DD779D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250E" w:rsidRDefault="00C8250E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250E" w:rsidRDefault="00C8250E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250E" w:rsidRPr="00DD779D" w:rsidRDefault="00C8250E" w:rsidP="0070348C">
      <w:pPr>
        <w:spacing w:after="0" w:line="240" w:lineRule="auto"/>
        <w:jc w:val="center"/>
        <w:rPr>
          <w:rFonts w:ascii="Planet Benson 2" w:eastAsia="Times New Roman" w:hAnsi="Planet Benson 2" w:cs="Times New Roman"/>
          <w:sz w:val="44"/>
          <w:szCs w:val="44"/>
          <w:lang w:eastAsia="pt-BR"/>
        </w:rPr>
      </w:pPr>
      <w:r w:rsidRPr="00DD779D">
        <w:rPr>
          <w:rFonts w:ascii="Planet Benson 2" w:eastAsia="Times New Roman" w:hAnsi="Planet Benson 2" w:cs="Times New Roman"/>
          <w:sz w:val="44"/>
          <w:szCs w:val="44"/>
          <w:lang w:eastAsia="pt-BR"/>
        </w:rPr>
        <w:t>CARTILHA D</w:t>
      </w:r>
      <w:r w:rsidR="00700102">
        <w:rPr>
          <w:rFonts w:ascii="Planet Benson 2" w:eastAsia="Times New Roman" w:hAnsi="Planet Benson 2" w:cs="Times New Roman"/>
          <w:sz w:val="44"/>
          <w:szCs w:val="44"/>
          <w:lang w:eastAsia="pt-BR"/>
        </w:rPr>
        <w:t>O CONTROLE DE BENS MÓVEIS</w:t>
      </w:r>
    </w:p>
    <w:p w:rsidR="00C8250E" w:rsidRDefault="00C8250E" w:rsidP="00504E47">
      <w:pPr>
        <w:spacing w:after="0" w:line="24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DD779D" w:rsidRDefault="00DD779D" w:rsidP="00504E47">
      <w:pPr>
        <w:spacing w:after="0" w:line="24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DD779D" w:rsidRDefault="00DD779D" w:rsidP="00504E47">
      <w:pPr>
        <w:spacing w:after="0" w:line="24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DD779D" w:rsidRDefault="00DD779D" w:rsidP="00504E47">
      <w:pPr>
        <w:spacing w:after="0" w:line="24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DD779D" w:rsidRDefault="00DD779D" w:rsidP="00504E47">
      <w:pPr>
        <w:spacing w:after="0" w:line="24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DD779D" w:rsidRDefault="00DD779D" w:rsidP="00504E47">
      <w:pPr>
        <w:spacing w:after="0" w:line="24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5A3FDC" w:rsidRDefault="005A3FDC" w:rsidP="00504E47">
      <w:pPr>
        <w:spacing w:after="0" w:line="24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5A3FDC" w:rsidRDefault="005A3FDC" w:rsidP="00504E47">
      <w:pPr>
        <w:spacing w:after="0" w:line="24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DD779D" w:rsidRDefault="00DD779D" w:rsidP="00504E47">
      <w:pPr>
        <w:spacing w:after="0" w:line="24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DD779D" w:rsidRPr="00DD779D" w:rsidRDefault="00DD779D" w:rsidP="00504E47">
      <w:pPr>
        <w:spacing w:after="0" w:line="24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C8250E" w:rsidRPr="00DD779D" w:rsidRDefault="00C8250E" w:rsidP="00504E47">
      <w:pPr>
        <w:spacing w:after="0" w:line="24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C8250E" w:rsidRPr="00DD779D" w:rsidRDefault="00C8250E" w:rsidP="00504E47">
      <w:pPr>
        <w:spacing w:after="0" w:line="24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C8250E" w:rsidRPr="00DD779D" w:rsidRDefault="00C8250E" w:rsidP="00504E47">
      <w:pPr>
        <w:spacing w:after="0" w:line="24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  <w:r w:rsidRPr="00DD779D">
        <w:rPr>
          <w:rFonts w:ascii="Showcard Gothic" w:eastAsia="Times New Roman" w:hAnsi="Showcard Gothic" w:cs="Times New Roman"/>
          <w:sz w:val="24"/>
          <w:szCs w:val="24"/>
          <w:lang w:eastAsia="pt-BR"/>
        </w:rPr>
        <w:t xml:space="preserve">PROCEDIMENTOS E CONTROLES </w:t>
      </w:r>
      <w:r w:rsidR="001401E2" w:rsidRPr="00DD779D">
        <w:rPr>
          <w:rFonts w:ascii="Showcard Gothic" w:eastAsia="Times New Roman" w:hAnsi="Showcard Gothic" w:cs="Times New Roman"/>
          <w:sz w:val="24"/>
          <w:szCs w:val="24"/>
          <w:lang w:eastAsia="pt-BR"/>
        </w:rPr>
        <w:t xml:space="preserve">A SEREM OBSERVADOS PELOS </w:t>
      </w:r>
      <w:r w:rsidR="003814ED">
        <w:rPr>
          <w:rFonts w:ascii="Showcard Gothic" w:eastAsia="Times New Roman" w:hAnsi="Showcard Gothic" w:cs="Times New Roman"/>
          <w:sz w:val="24"/>
          <w:szCs w:val="24"/>
          <w:lang w:eastAsia="pt-BR"/>
        </w:rPr>
        <w:t xml:space="preserve">ENCARREGADOS DE BENS MÓVEIS (ANTIGOS </w:t>
      </w:r>
      <w:r w:rsidR="001401E2" w:rsidRPr="00DD779D">
        <w:rPr>
          <w:rFonts w:ascii="Showcard Gothic" w:eastAsia="Times New Roman" w:hAnsi="Showcard Gothic" w:cs="Times New Roman"/>
          <w:sz w:val="24"/>
          <w:szCs w:val="24"/>
          <w:lang w:eastAsia="pt-BR"/>
        </w:rPr>
        <w:t>AGENTES PATRIMONIAIS</w:t>
      </w:r>
      <w:r w:rsidR="003814ED">
        <w:rPr>
          <w:rFonts w:ascii="Showcard Gothic" w:eastAsia="Times New Roman" w:hAnsi="Showcard Gothic" w:cs="Times New Roman"/>
          <w:sz w:val="24"/>
          <w:szCs w:val="24"/>
          <w:lang w:eastAsia="pt-BR"/>
        </w:rPr>
        <w:t xml:space="preserve">) </w:t>
      </w:r>
      <w:r w:rsidR="001401E2" w:rsidRPr="00DD779D">
        <w:rPr>
          <w:rFonts w:ascii="Showcard Gothic" w:eastAsia="Times New Roman" w:hAnsi="Showcard Gothic" w:cs="Times New Roman"/>
          <w:sz w:val="24"/>
          <w:szCs w:val="24"/>
          <w:lang w:eastAsia="pt-BR"/>
        </w:rPr>
        <w:t>E DEMAIS SERVIDORES QUE UTILIZEM OS BENS PÚBLICOS</w:t>
      </w:r>
    </w:p>
    <w:p w:rsidR="00C8250E" w:rsidRPr="00DD779D" w:rsidRDefault="00C8250E" w:rsidP="00504E47">
      <w:pPr>
        <w:spacing w:after="0" w:line="24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C8250E" w:rsidRPr="00DD779D" w:rsidRDefault="00C8250E" w:rsidP="00504E47">
      <w:pPr>
        <w:spacing w:after="0" w:line="24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C8250E" w:rsidRPr="00DD779D" w:rsidRDefault="00C8250E" w:rsidP="00504E47">
      <w:pPr>
        <w:spacing w:after="0" w:line="24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504E47" w:rsidRDefault="00504E47" w:rsidP="00504E47">
      <w:pPr>
        <w:spacing w:after="0" w:line="240" w:lineRule="auto"/>
        <w:jc w:val="center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A64420" w:rsidRDefault="00A64420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4420" w:rsidRDefault="00A64420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4420" w:rsidRDefault="00A64420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132C" w:rsidRDefault="0078132C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FDC" w:rsidRDefault="005A3FDC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FDC" w:rsidRDefault="005A3FDC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132C" w:rsidRDefault="0078132C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132C" w:rsidRDefault="0078132C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132C" w:rsidRDefault="0078132C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250E" w:rsidRDefault="00C8250E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250E" w:rsidRDefault="00C8250E" w:rsidP="00504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250E" w:rsidRPr="00DD779D" w:rsidRDefault="00DD779D" w:rsidP="00504E47">
      <w:pPr>
        <w:spacing w:after="0" w:line="240" w:lineRule="auto"/>
        <w:jc w:val="center"/>
        <w:rPr>
          <w:rFonts w:ascii="Teen Light" w:eastAsia="Times New Roman" w:hAnsi="Teen Light" w:cs="Times New Roman"/>
          <w:sz w:val="24"/>
          <w:szCs w:val="24"/>
          <w:lang w:eastAsia="pt-BR"/>
        </w:rPr>
      </w:pPr>
      <w:r w:rsidRPr="00DD779D">
        <w:rPr>
          <w:rFonts w:ascii="Teen Light" w:eastAsia="Times New Roman" w:hAnsi="Teen Light" w:cs="Times New Roman"/>
          <w:sz w:val="24"/>
          <w:szCs w:val="24"/>
          <w:lang w:eastAsia="pt-BR"/>
        </w:rPr>
        <w:t>UENF</w:t>
      </w:r>
    </w:p>
    <w:p w:rsidR="00DD779D" w:rsidRPr="00DD779D" w:rsidRDefault="00DD779D" w:rsidP="00504E47">
      <w:pPr>
        <w:spacing w:after="0" w:line="240" w:lineRule="auto"/>
        <w:jc w:val="center"/>
        <w:rPr>
          <w:rFonts w:ascii="Teen Light" w:eastAsia="Times New Roman" w:hAnsi="Teen Light" w:cs="Times New Roman"/>
          <w:sz w:val="24"/>
          <w:szCs w:val="24"/>
          <w:lang w:eastAsia="pt-BR"/>
        </w:rPr>
      </w:pPr>
      <w:r w:rsidRPr="00DD779D">
        <w:rPr>
          <w:rFonts w:ascii="Teen Light" w:eastAsia="Times New Roman" w:hAnsi="Teen Light" w:cs="Times New Roman"/>
          <w:sz w:val="24"/>
          <w:szCs w:val="24"/>
          <w:lang w:eastAsia="pt-BR"/>
        </w:rPr>
        <w:t>201</w:t>
      </w:r>
      <w:r w:rsidR="003814ED">
        <w:rPr>
          <w:rFonts w:ascii="Teen Light" w:eastAsia="Times New Roman" w:hAnsi="Teen Light" w:cs="Times New Roman"/>
          <w:sz w:val="24"/>
          <w:szCs w:val="24"/>
          <w:lang w:eastAsia="pt-BR"/>
        </w:rPr>
        <w:t>8</w:t>
      </w:r>
    </w:p>
    <w:p w:rsidR="00C8250E" w:rsidRPr="00DD779D" w:rsidRDefault="00C8250E" w:rsidP="00504E47">
      <w:pPr>
        <w:spacing w:after="0" w:line="240" w:lineRule="auto"/>
        <w:jc w:val="both"/>
        <w:rPr>
          <w:rFonts w:ascii="Teen Light" w:eastAsia="Times New Roman" w:hAnsi="Teen Light" w:cs="Times New Roman"/>
          <w:sz w:val="24"/>
          <w:szCs w:val="24"/>
          <w:lang w:eastAsia="pt-BR"/>
        </w:rPr>
      </w:pPr>
    </w:p>
    <w:p w:rsidR="004D428C" w:rsidRDefault="004D428C" w:rsidP="00504E47">
      <w:pPr>
        <w:spacing w:after="0" w:line="360" w:lineRule="auto"/>
        <w:jc w:val="both"/>
        <w:rPr>
          <w:rFonts w:ascii="Bodoni MT" w:eastAsia="Times New Roman" w:hAnsi="Bodoni MT" w:cs="Times New Roman"/>
          <w:sz w:val="28"/>
          <w:szCs w:val="28"/>
          <w:lang w:eastAsia="pt-BR"/>
        </w:rPr>
      </w:pPr>
    </w:p>
    <w:p w:rsidR="005A3FDC" w:rsidRDefault="005A3FDC" w:rsidP="00504E47">
      <w:pPr>
        <w:spacing w:after="0" w:line="360" w:lineRule="auto"/>
        <w:jc w:val="both"/>
        <w:rPr>
          <w:rFonts w:ascii="Bodoni MT" w:eastAsia="Times New Roman" w:hAnsi="Bodoni MT" w:cs="Times New Roman"/>
          <w:sz w:val="28"/>
          <w:szCs w:val="28"/>
          <w:lang w:eastAsia="pt-BR"/>
        </w:rPr>
      </w:pPr>
    </w:p>
    <w:p w:rsidR="005A3FDC" w:rsidRDefault="005A3FDC" w:rsidP="00504E47">
      <w:pPr>
        <w:spacing w:after="0" w:line="360" w:lineRule="auto"/>
        <w:jc w:val="both"/>
        <w:rPr>
          <w:rFonts w:ascii="Bodoni MT" w:eastAsia="Times New Roman" w:hAnsi="Bodoni MT" w:cs="Times New Roman"/>
          <w:sz w:val="28"/>
          <w:szCs w:val="28"/>
          <w:lang w:eastAsia="pt-BR"/>
        </w:rPr>
      </w:pPr>
    </w:p>
    <w:p w:rsidR="005A3FDC" w:rsidRPr="00C117DC" w:rsidRDefault="00C117DC" w:rsidP="005A3FDC">
      <w:pPr>
        <w:spacing w:after="0" w:line="360" w:lineRule="auto"/>
        <w:jc w:val="both"/>
        <w:rPr>
          <w:rFonts w:ascii="Bodoni MT" w:eastAsia="Times New Roman" w:hAnsi="Bodoni MT" w:cs="Times New Roman"/>
          <w:sz w:val="28"/>
          <w:szCs w:val="28"/>
          <w:lang w:eastAsia="pt-BR"/>
        </w:rPr>
      </w:pPr>
      <w:r w:rsidRPr="00C117DC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- </w:t>
      </w:r>
      <w:r w:rsidR="005A3FDC" w:rsidRPr="00C117DC">
        <w:rPr>
          <w:rFonts w:ascii="Bodoni MT" w:eastAsia="Times New Roman" w:hAnsi="Bodoni MT" w:cs="Times New Roman"/>
          <w:sz w:val="28"/>
          <w:szCs w:val="28"/>
          <w:lang w:eastAsia="pt-BR"/>
        </w:rPr>
        <w:t>Esta cartilha tem o objetivo de informar, orientar e ser fonte de consulta rápida disponibilizada aos encarregados de bens móveis (agentes patrimoniais) que, no desempenho de suas funções, utilizem e movimentem bens patrimoniais da Universidade ou bens de outros órgãos financiadores, sob a guarda da Universidade.</w:t>
      </w:r>
    </w:p>
    <w:p w:rsidR="005A3FDC" w:rsidRDefault="005A3FDC" w:rsidP="00504E47">
      <w:pPr>
        <w:spacing w:after="0" w:line="360" w:lineRule="auto"/>
        <w:jc w:val="both"/>
        <w:rPr>
          <w:rFonts w:ascii="Bodoni MT" w:eastAsia="Times New Roman" w:hAnsi="Bodoni MT" w:cs="Times New Roman"/>
          <w:sz w:val="28"/>
          <w:szCs w:val="28"/>
          <w:lang w:eastAsia="pt-BR"/>
        </w:rPr>
      </w:pPr>
    </w:p>
    <w:p w:rsidR="00C71970" w:rsidRDefault="00C117DC" w:rsidP="00504E47">
      <w:pPr>
        <w:spacing w:after="0" w:line="360" w:lineRule="auto"/>
        <w:jc w:val="both"/>
        <w:rPr>
          <w:rFonts w:ascii="Bodoni MT" w:eastAsia="Times New Roman" w:hAnsi="Bodoni MT" w:cs="Times New Roman"/>
          <w:sz w:val="28"/>
          <w:szCs w:val="28"/>
          <w:lang w:eastAsia="pt-BR"/>
        </w:rPr>
      </w:pPr>
      <w:r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- </w:t>
      </w:r>
      <w:r w:rsidR="00C71970" w:rsidRPr="00492EF2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Além do </w:t>
      </w:r>
      <w:r w:rsidR="00C71970" w:rsidRPr="00492EF2">
        <w:rPr>
          <w:rFonts w:ascii="Bodoni MT" w:eastAsia="Times New Roman" w:hAnsi="Bodoni MT" w:cs="Times New Roman"/>
          <w:b/>
          <w:sz w:val="28"/>
          <w:szCs w:val="28"/>
          <w:lang w:eastAsia="pt-BR"/>
        </w:rPr>
        <w:t>Reitor</w:t>
      </w:r>
      <w:r w:rsidR="00C71970" w:rsidRPr="00492EF2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, que responderá perante aos órgãos de controle e </w:t>
      </w:r>
      <w:r w:rsidR="00FF10CB">
        <w:rPr>
          <w:rFonts w:ascii="Bodoni MT" w:eastAsia="Times New Roman" w:hAnsi="Bodoni MT" w:cs="Times New Roman"/>
          <w:sz w:val="28"/>
          <w:szCs w:val="28"/>
          <w:lang w:eastAsia="pt-BR"/>
        </w:rPr>
        <w:t>fiscalização do Estado, quanto à</w:t>
      </w:r>
      <w:r w:rsidR="00C71970" w:rsidRPr="00492EF2">
        <w:rPr>
          <w:rFonts w:ascii="Bodoni MT" w:eastAsia="Times New Roman" w:hAnsi="Bodoni MT" w:cs="Times New Roman"/>
          <w:sz w:val="28"/>
          <w:szCs w:val="28"/>
          <w:lang w:eastAsia="pt-BR"/>
        </w:rPr>
        <w:t>s possíveis irregularidades apuradas no patrimônio público da Universidade</w:t>
      </w:r>
      <w:r w:rsidR="008100B1">
        <w:rPr>
          <w:rFonts w:ascii="Bodoni MT" w:eastAsia="Times New Roman" w:hAnsi="Bodoni MT" w:cs="Times New Roman"/>
          <w:sz w:val="28"/>
          <w:szCs w:val="28"/>
          <w:lang w:eastAsia="pt-BR"/>
        </w:rPr>
        <w:t>,</w:t>
      </w:r>
      <w:r w:rsidR="00C71970" w:rsidRPr="00492EF2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 do </w:t>
      </w:r>
      <w:r w:rsidR="00C71970" w:rsidRPr="00492EF2">
        <w:rPr>
          <w:rFonts w:ascii="Bodoni MT" w:eastAsia="Times New Roman" w:hAnsi="Bodoni MT" w:cs="Times New Roman"/>
          <w:b/>
          <w:sz w:val="28"/>
          <w:szCs w:val="28"/>
          <w:lang w:eastAsia="pt-BR"/>
        </w:rPr>
        <w:t>Gerente de Patrimônio</w:t>
      </w:r>
      <w:r w:rsidR="00C71970" w:rsidRPr="00492EF2">
        <w:rPr>
          <w:rFonts w:ascii="Bodoni MT" w:eastAsia="Times New Roman" w:hAnsi="Bodoni MT" w:cs="Times New Roman"/>
          <w:sz w:val="28"/>
          <w:szCs w:val="28"/>
          <w:lang w:eastAsia="pt-BR"/>
        </w:rPr>
        <w:t>, na condição de corresponsável, a quem cabe realizar a gestão dos bens móveis</w:t>
      </w:r>
      <w:r w:rsidR="00FF10CB">
        <w:rPr>
          <w:rFonts w:ascii="Bodoni MT" w:eastAsia="Times New Roman" w:hAnsi="Bodoni MT" w:cs="Times New Roman"/>
          <w:sz w:val="28"/>
          <w:szCs w:val="28"/>
          <w:lang w:eastAsia="pt-BR"/>
        </w:rPr>
        <w:t>,</w:t>
      </w:r>
      <w:r w:rsidR="00C71970" w:rsidRPr="00492EF2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 </w:t>
      </w:r>
      <w:r w:rsidR="008100B1">
        <w:rPr>
          <w:rFonts w:ascii="Bodoni MT" w:eastAsia="Times New Roman" w:hAnsi="Bodoni MT" w:cs="Times New Roman"/>
          <w:sz w:val="28"/>
          <w:szCs w:val="28"/>
          <w:lang w:eastAsia="pt-BR"/>
        </w:rPr>
        <w:t>d</w:t>
      </w:r>
      <w:r w:rsidR="00E32613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os </w:t>
      </w:r>
      <w:r w:rsidR="00E32613" w:rsidRPr="00E32613">
        <w:rPr>
          <w:rFonts w:ascii="Bodoni MT" w:eastAsia="Times New Roman" w:hAnsi="Bodoni MT" w:cs="Times New Roman"/>
          <w:b/>
          <w:sz w:val="28"/>
          <w:szCs w:val="28"/>
          <w:lang w:eastAsia="pt-BR"/>
        </w:rPr>
        <w:t>Agentes de Bens Móveis das Unidades</w:t>
      </w:r>
      <w:r w:rsidR="006125CB">
        <w:rPr>
          <w:rFonts w:ascii="Bodoni MT" w:eastAsia="Times New Roman" w:hAnsi="Bodoni MT" w:cs="Times New Roman"/>
          <w:b/>
          <w:sz w:val="28"/>
          <w:szCs w:val="28"/>
          <w:lang w:eastAsia="pt-BR"/>
        </w:rPr>
        <w:t xml:space="preserve">, </w:t>
      </w:r>
      <w:r w:rsidR="006125CB" w:rsidRPr="006125CB">
        <w:rPr>
          <w:rFonts w:ascii="Bodoni MT" w:eastAsia="Times New Roman" w:hAnsi="Bodoni MT" w:cs="Times New Roman"/>
          <w:sz w:val="28"/>
          <w:szCs w:val="28"/>
          <w:lang w:eastAsia="pt-BR"/>
        </w:rPr>
        <w:t>subordinados ao Gestor</w:t>
      </w:r>
      <w:r w:rsidR="008100B1">
        <w:rPr>
          <w:rFonts w:ascii="Bodoni MT" w:eastAsia="Times New Roman" w:hAnsi="Bodoni MT" w:cs="Times New Roman"/>
          <w:sz w:val="28"/>
          <w:szCs w:val="28"/>
          <w:lang w:eastAsia="pt-BR"/>
        </w:rPr>
        <w:t>,</w:t>
      </w:r>
      <w:r w:rsidR="00E32613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 </w:t>
      </w:r>
      <w:r w:rsidR="00FF10CB">
        <w:rPr>
          <w:rFonts w:ascii="Bodoni MT" w:eastAsia="Times New Roman" w:hAnsi="Bodoni MT" w:cs="Times New Roman"/>
          <w:sz w:val="28"/>
          <w:szCs w:val="28"/>
          <w:lang w:eastAsia="pt-BR"/>
        </w:rPr>
        <w:t>d</w:t>
      </w:r>
      <w:r w:rsidR="007A1918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os </w:t>
      </w:r>
      <w:r w:rsidR="007A1918" w:rsidRPr="007A1918">
        <w:rPr>
          <w:rFonts w:ascii="Bodoni MT" w:eastAsia="Times New Roman" w:hAnsi="Bodoni MT" w:cs="Times New Roman"/>
          <w:b/>
          <w:sz w:val="28"/>
          <w:szCs w:val="28"/>
          <w:lang w:eastAsia="pt-BR"/>
        </w:rPr>
        <w:t>Encarregados de Bens Móveis</w:t>
      </w:r>
      <w:r w:rsidR="007A1918">
        <w:rPr>
          <w:rFonts w:ascii="Bodoni MT" w:eastAsia="Times New Roman" w:hAnsi="Bodoni MT" w:cs="Times New Roman"/>
          <w:b/>
          <w:sz w:val="28"/>
          <w:szCs w:val="28"/>
          <w:lang w:eastAsia="pt-BR"/>
        </w:rPr>
        <w:t xml:space="preserve"> </w:t>
      </w:r>
      <w:r w:rsidR="007A1918" w:rsidRPr="004068FB">
        <w:rPr>
          <w:rFonts w:ascii="Bodoni MT" w:eastAsia="Times New Roman" w:hAnsi="Bodoni MT" w:cs="Times New Roman"/>
          <w:sz w:val="28"/>
          <w:szCs w:val="28"/>
          <w:lang w:eastAsia="pt-BR"/>
        </w:rPr>
        <w:t>(</w:t>
      </w:r>
      <w:r w:rsidR="00C40DF9" w:rsidRPr="004068FB">
        <w:rPr>
          <w:rFonts w:ascii="Bodoni MT" w:eastAsia="Times New Roman" w:hAnsi="Bodoni MT" w:cs="Times New Roman"/>
          <w:sz w:val="28"/>
          <w:szCs w:val="28"/>
          <w:lang w:eastAsia="pt-BR"/>
        </w:rPr>
        <w:t>A</w:t>
      </w:r>
      <w:r w:rsidR="00C71970" w:rsidRPr="004068FB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gentes </w:t>
      </w:r>
      <w:r w:rsidR="00C40DF9" w:rsidRPr="004068FB">
        <w:rPr>
          <w:rFonts w:ascii="Bodoni MT" w:eastAsia="Times New Roman" w:hAnsi="Bodoni MT" w:cs="Times New Roman"/>
          <w:sz w:val="28"/>
          <w:szCs w:val="28"/>
          <w:lang w:eastAsia="pt-BR"/>
        </w:rPr>
        <w:t>P</w:t>
      </w:r>
      <w:r w:rsidR="00C71970" w:rsidRPr="004068FB">
        <w:rPr>
          <w:rFonts w:ascii="Bodoni MT" w:eastAsia="Times New Roman" w:hAnsi="Bodoni MT" w:cs="Times New Roman"/>
          <w:sz w:val="28"/>
          <w:szCs w:val="28"/>
          <w:lang w:eastAsia="pt-BR"/>
        </w:rPr>
        <w:t>atrimoniais</w:t>
      </w:r>
      <w:r w:rsidR="007A1918" w:rsidRPr="004068FB">
        <w:rPr>
          <w:rFonts w:ascii="Bodoni MT" w:eastAsia="Times New Roman" w:hAnsi="Bodoni MT" w:cs="Times New Roman"/>
          <w:sz w:val="28"/>
          <w:szCs w:val="28"/>
          <w:lang w:eastAsia="pt-BR"/>
        </w:rPr>
        <w:t>)</w:t>
      </w:r>
      <w:r w:rsidR="00C71970" w:rsidRPr="00492EF2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 </w:t>
      </w:r>
      <w:r w:rsidR="00FF10CB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que </w:t>
      </w:r>
      <w:r w:rsidR="00492EF2" w:rsidRPr="00492EF2">
        <w:rPr>
          <w:rFonts w:ascii="Bodoni MT" w:eastAsia="Times New Roman" w:hAnsi="Bodoni MT" w:cs="Times New Roman"/>
          <w:sz w:val="28"/>
          <w:szCs w:val="28"/>
          <w:lang w:eastAsia="pt-BR"/>
        </w:rPr>
        <w:t>possuem</w:t>
      </w:r>
      <w:r w:rsidR="00C71970" w:rsidRPr="00492EF2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 a responsabilidade pela gestão dos bens móveis colocados sob a sua guarda</w:t>
      </w:r>
      <w:r w:rsidR="00FF10CB">
        <w:rPr>
          <w:rFonts w:ascii="Bodoni MT" w:eastAsia="Times New Roman" w:hAnsi="Bodoni MT" w:cs="Times New Roman"/>
          <w:sz w:val="28"/>
          <w:szCs w:val="28"/>
          <w:lang w:eastAsia="pt-BR"/>
        </w:rPr>
        <w:t>, também o</w:t>
      </w:r>
      <w:r w:rsidR="00C71970" w:rsidRPr="00492EF2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s </w:t>
      </w:r>
      <w:r w:rsidR="00C71970" w:rsidRPr="00C40DF9">
        <w:rPr>
          <w:rFonts w:ascii="Bodoni MT" w:eastAsia="Times New Roman" w:hAnsi="Bodoni MT" w:cs="Times New Roman"/>
          <w:b/>
          <w:sz w:val="28"/>
          <w:szCs w:val="28"/>
          <w:lang w:eastAsia="pt-BR"/>
        </w:rPr>
        <w:t>usuários</w:t>
      </w:r>
      <w:r w:rsidR="00C71970" w:rsidRPr="00492EF2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, </w:t>
      </w:r>
      <w:r w:rsidR="00C71970" w:rsidRPr="00C40DF9">
        <w:rPr>
          <w:rFonts w:ascii="Bodoni MT" w:eastAsia="Times New Roman" w:hAnsi="Bodoni MT" w:cs="Times New Roman"/>
          <w:sz w:val="28"/>
          <w:szCs w:val="28"/>
          <w:lang w:eastAsia="pt-BR"/>
        </w:rPr>
        <w:t>qua</w:t>
      </w:r>
      <w:r w:rsidR="006B55EA">
        <w:rPr>
          <w:rFonts w:ascii="Bodoni MT" w:eastAsia="Times New Roman" w:hAnsi="Bodoni MT" w:cs="Times New Roman"/>
          <w:sz w:val="28"/>
          <w:szCs w:val="28"/>
          <w:lang w:eastAsia="pt-BR"/>
        </w:rPr>
        <w:t>isquer</w:t>
      </w:r>
      <w:r w:rsidR="00C71970" w:rsidRPr="00C40DF9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 servidor</w:t>
      </w:r>
      <w:r w:rsidR="006B55EA">
        <w:rPr>
          <w:rFonts w:ascii="Bodoni MT" w:eastAsia="Times New Roman" w:hAnsi="Bodoni MT" w:cs="Times New Roman"/>
          <w:sz w:val="28"/>
          <w:szCs w:val="28"/>
          <w:lang w:eastAsia="pt-BR"/>
        </w:rPr>
        <w:t>es</w:t>
      </w:r>
      <w:r w:rsidR="00C71970" w:rsidRPr="00C40DF9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 que utilize</w:t>
      </w:r>
      <w:r w:rsidR="006B55EA">
        <w:rPr>
          <w:rFonts w:ascii="Bodoni MT" w:eastAsia="Times New Roman" w:hAnsi="Bodoni MT" w:cs="Times New Roman"/>
          <w:sz w:val="28"/>
          <w:szCs w:val="28"/>
          <w:lang w:eastAsia="pt-BR"/>
        </w:rPr>
        <w:t>m</w:t>
      </w:r>
      <w:r w:rsidR="00C71970" w:rsidRPr="00C40DF9">
        <w:rPr>
          <w:rFonts w:ascii="Bodoni MT" w:eastAsia="Times New Roman" w:hAnsi="Bodoni MT" w:cs="Times New Roman"/>
          <w:sz w:val="28"/>
          <w:szCs w:val="28"/>
          <w:lang w:eastAsia="pt-BR"/>
        </w:rPr>
        <w:t>, efetivamente, o bem móvel para o desempenho de suas atribuições, s</w:t>
      </w:r>
      <w:r w:rsidR="00FF10CB">
        <w:rPr>
          <w:rFonts w:ascii="Bodoni MT" w:eastAsia="Times New Roman" w:hAnsi="Bodoni MT" w:cs="Times New Roman"/>
          <w:sz w:val="28"/>
          <w:szCs w:val="28"/>
          <w:lang w:eastAsia="pt-BR"/>
        </w:rPr>
        <w:t>ão</w:t>
      </w:r>
      <w:r w:rsidR="00C71970" w:rsidRPr="00C40DF9">
        <w:rPr>
          <w:rFonts w:ascii="Bodoni MT" w:eastAsia="Times New Roman" w:hAnsi="Bodoni MT" w:cs="Times New Roman"/>
          <w:sz w:val="28"/>
          <w:szCs w:val="28"/>
          <w:lang w:eastAsia="pt-BR"/>
        </w:rPr>
        <w:t xml:space="preserve"> corresponsáveis pela sua guarda e adequada utilização.</w:t>
      </w:r>
    </w:p>
    <w:p w:rsidR="00C117DC" w:rsidRDefault="00C117DC" w:rsidP="00504E47">
      <w:pPr>
        <w:spacing w:before="100" w:beforeAutospacing="1" w:after="100" w:afterAutospacing="1" w:line="36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C71970" w:rsidRPr="00A3615B" w:rsidRDefault="003770A3" w:rsidP="00504E47">
      <w:pPr>
        <w:spacing w:before="100" w:beforeAutospacing="1" w:after="100" w:afterAutospacing="1" w:line="36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  <w:r w:rsidRPr="00A3615B">
        <w:rPr>
          <w:rFonts w:ascii="Showcard Gothic" w:eastAsia="Times New Roman" w:hAnsi="Showcard Gothic" w:cs="Times New Roman"/>
          <w:sz w:val="24"/>
          <w:szCs w:val="24"/>
          <w:lang w:eastAsia="pt-BR"/>
        </w:rPr>
        <w:t>C</w:t>
      </w:r>
      <w:r w:rsidR="00C71970" w:rsidRPr="00A3615B">
        <w:rPr>
          <w:rFonts w:ascii="Showcard Gothic" w:eastAsia="Times New Roman" w:hAnsi="Showcard Gothic" w:cs="Times New Roman"/>
          <w:sz w:val="24"/>
          <w:szCs w:val="24"/>
          <w:lang w:eastAsia="pt-BR"/>
        </w:rPr>
        <w:t xml:space="preserve">ompete aos </w:t>
      </w:r>
      <w:r w:rsidR="000529BC">
        <w:rPr>
          <w:rFonts w:ascii="Showcard Gothic" w:eastAsia="Times New Roman" w:hAnsi="Showcard Gothic" w:cs="Times New Roman"/>
          <w:sz w:val="24"/>
          <w:szCs w:val="24"/>
          <w:lang w:eastAsia="pt-BR"/>
        </w:rPr>
        <w:t>ENCARREGADOS DE BENS MÓVEIS (</w:t>
      </w:r>
      <w:r w:rsidRPr="00A3615B">
        <w:rPr>
          <w:rFonts w:ascii="Showcard Gothic" w:eastAsia="Times New Roman" w:hAnsi="Showcard Gothic" w:cs="Times New Roman"/>
          <w:sz w:val="24"/>
          <w:szCs w:val="24"/>
          <w:lang w:eastAsia="pt-BR"/>
        </w:rPr>
        <w:t>A</w:t>
      </w:r>
      <w:r w:rsidR="00C71970" w:rsidRPr="00A3615B">
        <w:rPr>
          <w:rFonts w:ascii="Showcard Gothic" w:eastAsia="Times New Roman" w:hAnsi="Showcard Gothic" w:cs="Times New Roman"/>
          <w:sz w:val="24"/>
          <w:szCs w:val="24"/>
          <w:lang w:eastAsia="pt-BR"/>
        </w:rPr>
        <w:t xml:space="preserve">gentes </w:t>
      </w:r>
      <w:r w:rsidRPr="00A3615B">
        <w:rPr>
          <w:rFonts w:ascii="Showcard Gothic" w:eastAsia="Times New Roman" w:hAnsi="Showcard Gothic" w:cs="Times New Roman"/>
          <w:sz w:val="24"/>
          <w:szCs w:val="24"/>
          <w:lang w:eastAsia="pt-BR"/>
        </w:rPr>
        <w:t>P</w:t>
      </w:r>
      <w:r w:rsidR="00C71970" w:rsidRPr="00A3615B">
        <w:rPr>
          <w:rFonts w:ascii="Showcard Gothic" w:eastAsia="Times New Roman" w:hAnsi="Showcard Gothic" w:cs="Times New Roman"/>
          <w:sz w:val="24"/>
          <w:szCs w:val="24"/>
          <w:lang w:eastAsia="pt-BR"/>
        </w:rPr>
        <w:t>atrimoniais</w:t>
      </w:r>
      <w:r w:rsidR="000529BC">
        <w:rPr>
          <w:rFonts w:ascii="Showcard Gothic" w:eastAsia="Times New Roman" w:hAnsi="Showcard Gothic" w:cs="Times New Roman"/>
          <w:sz w:val="24"/>
          <w:szCs w:val="24"/>
          <w:lang w:eastAsia="pt-BR"/>
        </w:rPr>
        <w:t>)</w:t>
      </w:r>
      <w:r w:rsidR="00C71970" w:rsidRPr="00A3615B">
        <w:rPr>
          <w:rFonts w:ascii="Showcard Gothic" w:eastAsia="Times New Roman" w:hAnsi="Showcard Gothic" w:cs="Times New Roman"/>
          <w:sz w:val="24"/>
          <w:szCs w:val="24"/>
          <w:lang w:eastAsia="pt-BR"/>
        </w:rPr>
        <w:t>:</w:t>
      </w:r>
    </w:p>
    <w:p w:rsidR="00C71970" w:rsidRPr="00A64420" w:rsidRDefault="006157EE" w:rsidP="00504E47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4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="00836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71970" w:rsidRPr="00A644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responsabilidade pelos bens móveis que estão </w:t>
      </w:r>
      <w:r w:rsidR="00836EEF">
        <w:rPr>
          <w:rFonts w:ascii="Times New Roman" w:eastAsia="Times New Roman" w:hAnsi="Times New Roman" w:cs="Times New Roman"/>
          <w:sz w:val="24"/>
          <w:szCs w:val="24"/>
          <w:lang w:eastAsia="pt-BR"/>
        </w:rPr>
        <w:t>destinados a sua subunidade</w:t>
      </w:r>
      <w:r w:rsidR="00C71970" w:rsidRPr="00A6442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36EEF" w:rsidRPr="00836EEF" w:rsidRDefault="00836EEF" w:rsidP="00504E47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6E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elar pela conservação e correto manuseio dos bens móveis de sua subunidade;</w:t>
      </w:r>
    </w:p>
    <w:p w:rsidR="00C71970" w:rsidRPr="003770A3" w:rsidRDefault="006157EE" w:rsidP="00504E47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="00C71970" w:rsidRPr="003770A3">
        <w:rPr>
          <w:rFonts w:ascii="Times New Roman" w:eastAsia="Times New Roman" w:hAnsi="Times New Roman" w:cs="Times New Roman"/>
          <w:sz w:val="24"/>
          <w:szCs w:val="24"/>
          <w:lang w:eastAsia="pt-BR"/>
        </w:rPr>
        <w:t>dotar e propor à chefia imediata providências que preservem a segurança e conservação dos bens móveis</w:t>
      </w:r>
      <w:r w:rsidR="00F46E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existentes em sua subunidade</w:t>
      </w:r>
      <w:r w:rsidR="00C71970" w:rsidRPr="003770A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71970" w:rsidRPr="003770A3" w:rsidRDefault="006157EE" w:rsidP="00504E47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</w:t>
      </w:r>
      <w:r w:rsidRPr="003770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C71970" w:rsidRPr="00377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municar, imediatamente, ao </w:t>
      </w:r>
      <w:r w:rsidR="00F46E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gestor de bens móveis ou ao agente da unidade administrativa </w:t>
      </w:r>
      <w:r w:rsidR="00C71970" w:rsidRPr="00377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qualquer irregularidade ocorrida com o </w:t>
      </w:r>
      <w:r w:rsidR="00F46E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bem móvel </w:t>
      </w:r>
      <w:r w:rsidR="00C71970" w:rsidRPr="003770A3">
        <w:rPr>
          <w:rFonts w:ascii="Times New Roman" w:eastAsia="Times New Roman" w:hAnsi="Times New Roman" w:cs="Times New Roman"/>
          <w:sz w:val="24"/>
          <w:szCs w:val="24"/>
          <w:lang w:eastAsia="pt-BR"/>
        </w:rPr>
        <w:t>sob a sua responsabilidade;</w:t>
      </w:r>
    </w:p>
    <w:p w:rsidR="00C71970" w:rsidRPr="003770A3" w:rsidRDefault="00F46E32" w:rsidP="00504E47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</w:t>
      </w:r>
      <w:r w:rsidRPr="00F46E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nformar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mensalmente os saldos e a </w:t>
      </w:r>
      <w:r w:rsidR="00C71970" w:rsidRPr="003770A3">
        <w:rPr>
          <w:rFonts w:ascii="Times New Roman" w:eastAsia="Times New Roman" w:hAnsi="Times New Roman" w:cs="Times New Roman"/>
          <w:sz w:val="24"/>
          <w:szCs w:val="24"/>
          <w:lang w:eastAsia="pt-BR"/>
        </w:rPr>
        <w:t>movimentação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agente da unidade administrativa ou </w:t>
      </w:r>
      <w:r w:rsidRPr="00377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gestor de bens móveis da unidade gestora</w:t>
      </w:r>
      <w:r w:rsidR="00E5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(Atividade da GPAT para ASCONT)</w:t>
      </w:r>
      <w:r w:rsidR="00C71970" w:rsidRPr="003770A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71970" w:rsidRDefault="003770A3" w:rsidP="00504E47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7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="00C71970" w:rsidRPr="003770A3">
        <w:rPr>
          <w:rFonts w:ascii="Times New Roman" w:eastAsia="Times New Roman" w:hAnsi="Times New Roman" w:cs="Times New Roman"/>
          <w:sz w:val="24"/>
          <w:szCs w:val="24"/>
          <w:lang w:eastAsia="pt-BR"/>
        </w:rPr>
        <w:t>poiar</w:t>
      </w:r>
      <w:r w:rsidR="007E7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executar </w:t>
      </w:r>
      <w:r w:rsidR="00C71970" w:rsidRPr="003770A3">
        <w:rPr>
          <w:rFonts w:ascii="Times New Roman" w:eastAsia="Times New Roman" w:hAnsi="Times New Roman" w:cs="Times New Roman"/>
          <w:sz w:val="24"/>
          <w:szCs w:val="24"/>
          <w:lang w:eastAsia="pt-BR"/>
        </w:rPr>
        <w:t>a realização de levantamentos e inventários.</w:t>
      </w:r>
    </w:p>
    <w:p w:rsidR="009C03D1" w:rsidRDefault="009C03D1" w:rsidP="00504E47">
      <w:pPr>
        <w:spacing w:before="100" w:beforeAutospacing="1" w:after="100" w:afterAutospacing="1" w:line="36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</w:p>
    <w:p w:rsidR="00A95D39" w:rsidRPr="00A3615B" w:rsidRDefault="00A95D39" w:rsidP="00504E47">
      <w:pPr>
        <w:spacing w:before="100" w:beforeAutospacing="1" w:after="100" w:afterAutospacing="1" w:line="360" w:lineRule="auto"/>
        <w:jc w:val="both"/>
        <w:rPr>
          <w:rFonts w:ascii="Showcard Gothic" w:eastAsia="Times New Roman" w:hAnsi="Showcard Gothic" w:cs="Times New Roman"/>
          <w:sz w:val="24"/>
          <w:szCs w:val="24"/>
          <w:lang w:eastAsia="pt-BR"/>
        </w:rPr>
      </w:pPr>
      <w:r w:rsidRPr="00A3615B">
        <w:rPr>
          <w:rFonts w:ascii="Showcard Gothic" w:eastAsia="Times New Roman" w:hAnsi="Showcard Gothic" w:cs="Times New Roman"/>
          <w:sz w:val="24"/>
          <w:szCs w:val="24"/>
          <w:lang w:eastAsia="pt-BR"/>
        </w:rPr>
        <w:t>Compete aos Usuários</w:t>
      </w:r>
      <w:r w:rsidR="00A866E5">
        <w:rPr>
          <w:rFonts w:ascii="Showcard Gothic" w:eastAsia="Times New Roman" w:hAnsi="Showcard Gothic" w:cs="Times New Roman"/>
          <w:sz w:val="24"/>
          <w:szCs w:val="24"/>
          <w:lang w:eastAsia="pt-BR"/>
        </w:rPr>
        <w:t xml:space="preserve"> DOS BENS MÓVEIS</w:t>
      </w:r>
      <w:r w:rsidRPr="00A3615B">
        <w:rPr>
          <w:rFonts w:ascii="Showcard Gothic" w:eastAsia="Times New Roman" w:hAnsi="Showcard Gothic" w:cs="Times New Roman"/>
          <w:sz w:val="24"/>
          <w:szCs w:val="24"/>
          <w:lang w:eastAsia="pt-BR"/>
        </w:rPr>
        <w:t>:</w:t>
      </w:r>
    </w:p>
    <w:p w:rsidR="00A95D39" w:rsidRPr="005B59C6" w:rsidRDefault="00A95D39" w:rsidP="004E5F7D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Zelar pelo uso adequado</w:t>
      </w:r>
      <w:r w:rsidR="00207286"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5F10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guarda</w:t>
      </w:r>
      <w:r w:rsidR="005F10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conserva</w:t>
      </w:r>
      <w:r w:rsidR="005F10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 </w:t>
      </w:r>
      <w:r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bens móveis disponibilizados para o desempenho de suas atribuições, bem como informar ao</w:t>
      </w:r>
      <w:r w:rsidR="007231FD"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encarregado da subunidade, agente da unidade administrativa ou ao gestor de bens móveis da unidade </w:t>
      </w:r>
      <w:r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qualquer ocorrência relativa a esses bens.</w:t>
      </w:r>
    </w:p>
    <w:p w:rsidR="00A95D39" w:rsidRPr="005B59C6" w:rsidRDefault="005B59C6" w:rsidP="004E5F7D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D355BA"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esponder</w:t>
      </w:r>
      <w:r w:rsidR="00A95D39"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pelo desaparecimento do bem móvel que lhe for confiado, para guarda e uso, bem como pelo dano que</w:t>
      </w:r>
      <w:r w:rsidR="00D355BA"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95D39"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dolosa ou culposamente causar a qualquer bem móvel que esteja ou não sob sua guarda.</w:t>
      </w:r>
    </w:p>
    <w:p w:rsidR="00A95D39" w:rsidRDefault="00A95D39" w:rsidP="00FF10CB">
      <w:pPr>
        <w:spacing w:before="100" w:beforeAutospacing="1" w:after="100" w:afterAutospacing="1" w:line="36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bens móveis utilizados p</w:t>
      </w:r>
      <w:r w:rsidR="00E512A0"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</w:t>
      </w:r>
      <w:r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7367A"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contratados</w:t>
      </w:r>
      <w:r w:rsidR="006B55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7367A"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detém vínculo precário com a </w:t>
      </w:r>
      <w:r w:rsidR="00C97CA6"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administração p</w:t>
      </w:r>
      <w:r w:rsidR="0067367A"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ública</w:t>
      </w:r>
      <w:r w:rsidR="00E512A0"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serão de responsabilidade d</w:t>
      </w:r>
      <w:r w:rsidR="0067367A"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chefia imediata a que estiverem </w:t>
      </w:r>
      <w:r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subordinado</w:t>
      </w:r>
      <w:r w:rsidR="0067367A"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não estando os mesmos isentos das responsabilidades sobre o</w:t>
      </w:r>
      <w:r w:rsidR="0067367A" w:rsidRPr="005B59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referidos bens.</w:t>
      </w:r>
    </w:p>
    <w:p w:rsidR="00AC648B" w:rsidRDefault="00AC648B" w:rsidP="00AC648B">
      <w:pPr>
        <w:spacing w:before="240" w:after="0" w:line="360" w:lineRule="auto"/>
        <w:ind w:left="360"/>
        <w:jc w:val="both"/>
        <w:rPr>
          <w:rFonts w:ascii="Berlin Sans FB Demi" w:hAnsi="Berlin Sans FB Demi" w:cs="Times New Roman"/>
        </w:rPr>
      </w:pPr>
      <w:r w:rsidRPr="00AC648B">
        <w:rPr>
          <w:rFonts w:ascii="Berlin Sans FB Demi" w:hAnsi="Berlin Sans FB Demi" w:cs="Times New Roman"/>
        </w:rPr>
        <w:t>O usuário do bem patrimonial ou encarregado de bens móveis</w:t>
      </w:r>
      <w:proofErr w:type="gramStart"/>
      <w:r w:rsidRPr="00AC648B">
        <w:rPr>
          <w:rFonts w:ascii="Berlin Sans FB Demi" w:hAnsi="Berlin Sans FB Demi" w:cs="Times New Roman"/>
        </w:rPr>
        <w:t xml:space="preserve">  </w:t>
      </w:r>
      <w:proofErr w:type="gramEnd"/>
      <w:r w:rsidRPr="00AC648B">
        <w:rPr>
          <w:rFonts w:ascii="Berlin Sans FB Demi" w:hAnsi="Berlin Sans FB Demi" w:cs="Times New Roman"/>
        </w:rPr>
        <w:t>deverá relatar em C</w:t>
      </w:r>
      <w:r>
        <w:rPr>
          <w:rFonts w:ascii="Berlin Sans FB Demi" w:hAnsi="Berlin Sans FB Demi" w:cs="Times New Roman"/>
        </w:rPr>
        <w:t>omunicação Interna (C</w:t>
      </w:r>
      <w:r w:rsidRPr="00AC648B">
        <w:rPr>
          <w:rFonts w:ascii="Berlin Sans FB Demi" w:hAnsi="Berlin Sans FB Demi" w:cs="Times New Roman"/>
        </w:rPr>
        <w:t>I</w:t>
      </w:r>
      <w:r>
        <w:rPr>
          <w:rFonts w:ascii="Berlin Sans FB Demi" w:hAnsi="Berlin Sans FB Demi" w:cs="Times New Roman"/>
        </w:rPr>
        <w:t>)</w:t>
      </w:r>
      <w:r w:rsidRPr="00AC648B">
        <w:rPr>
          <w:rFonts w:ascii="Berlin Sans FB Demi" w:hAnsi="Berlin Sans FB Demi" w:cs="Times New Roman"/>
        </w:rPr>
        <w:t xml:space="preserve">, à Gerência de Patrimônio, todas as informações que tenha conhecimento relativas a ocorrência de dano ou desaparecimento de bem patrimonial da Universidade, juntando anexos </w:t>
      </w:r>
      <w:r w:rsidR="00AD2D35">
        <w:rPr>
          <w:rFonts w:ascii="Berlin Sans FB Demi" w:hAnsi="Berlin Sans FB Demi" w:cs="Times New Roman"/>
        </w:rPr>
        <w:t>(</w:t>
      </w:r>
      <w:r w:rsidRPr="00AC648B">
        <w:rPr>
          <w:rFonts w:ascii="Berlin Sans FB Demi" w:hAnsi="Berlin Sans FB Demi" w:cs="Times New Roman"/>
        </w:rPr>
        <w:t>tais como Boletim de Ocorrência e outros documentos relacionados ao fato</w:t>
      </w:r>
      <w:r w:rsidR="00AD2D35">
        <w:rPr>
          <w:rFonts w:ascii="Berlin Sans FB Demi" w:hAnsi="Berlin Sans FB Demi" w:cs="Times New Roman"/>
        </w:rPr>
        <w:t>) que irão compor processo de sindicância</w:t>
      </w:r>
      <w:r w:rsidRPr="00AC648B">
        <w:rPr>
          <w:rFonts w:ascii="Berlin Sans FB Demi" w:hAnsi="Berlin Sans FB Demi" w:cs="Times New Roman"/>
        </w:rPr>
        <w:t>.</w:t>
      </w:r>
    </w:p>
    <w:p w:rsidR="001C7EFB" w:rsidRPr="00AC648B" w:rsidRDefault="001C7EFB" w:rsidP="00AC648B">
      <w:pPr>
        <w:spacing w:before="240" w:after="0" w:line="360" w:lineRule="auto"/>
        <w:ind w:left="360"/>
        <w:jc w:val="both"/>
        <w:rPr>
          <w:rFonts w:ascii="Berlin Sans FB Demi" w:hAnsi="Berlin Sans FB Demi" w:cs="Times New Roman"/>
        </w:rPr>
      </w:pPr>
    </w:p>
    <w:p w:rsidR="00A95D39" w:rsidRPr="00A95D39" w:rsidRDefault="00A95D39" w:rsidP="00504E47">
      <w:pPr>
        <w:spacing w:before="100" w:beforeAutospacing="1" w:after="100" w:afterAutospacing="1" w:line="360" w:lineRule="auto"/>
        <w:ind w:left="60"/>
        <w:jc w:val="both"/>
        <w:rPr>
          <w:rFonts w:ascii="Bodoni MT" w:eastAsia="Times New Roman" w:hAnsi="Bodoni MT" w:cs="Times New Roman"/>
          <w:sz w:val="24"/>
          <w:szCs w:val="24"/>
          <w:u w:val="single"/>
          <w:lang w:eastAsia="pt-BR"/>
        </w:rPr>
      </w:pPr>
      <w:r w:rsidRPr="00A95D39">
        <w:rPr>
          <w:rFonts w:ascii="Bodoni MT" w:eastAsia="Times New Roman" w:hAnsi="Bodoni MT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BDF32" wp14:editId="61FE236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29250" cy="1295400"/>
                <wp:effectExtent l="0" t="0" r="19050" b="190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48B" w:rsidRPr="00141F28" w:rsidRDefault="00AC648B" w:rsidP="001B1E6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B4AC8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eastAsia="pt-BR"/>
                              </w:rPr>
                              <w:t>O</w:t>
                            </w:r>
                            <w:r w:rsidRPr="00141F28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pt-BR"/>
                              </w:rPr>
                              <w:t xml:space="preserve">s bens móveis públicos, qualquer que seja sua natureza ou valor, são confiados à guarda e conservação de encarregados responsáveis e a entrega dos bens é </w:t>
                            </w:r>
                            <w:proofErr w:type="gramStart"/>
                            <w:r w:rsidRPr="00141F28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pt-BR"/>
                              </w:rPr>
                              <w:t>efetuada por meio de termo, conferido e dado como certo pelo encarregado responsável recebedor</w:t>
                            </w:r>
                            <w:proofErr w:type="gramEnd"/>
                            <w:r w:rsidRPr="00141F28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pt-BR"/>
                              </w:rPr>
                              <w:t>. As transferências de responsabilidade deverão ser efetuadas sempre mediante realização de inventário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427.5pt;height:102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">
                <v:textbox>
                  <w:txbxContent>
                    <w:p w:rsidR="00AC648B" w:rsidRPr="00141F28" w:rsidRDefault="00AC648B" w:rsidP="001B1E66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B4AC8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eastAsia="pt-BR"/>
                        </w:rPr>
                        <w:t>O</w:t>
                      </w:r>
                      <w:r w:rsidRPr="00141F28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pt-BR"/>
                        </w:rPr>
                        <w:t xml:space="preserve">s bens móveis públicos, qualquer que seja sua natureza ou valor, são confiados à guarda e conservação de encarregados responsáveis e a entrega dos bens é </w:t>
                      </w:r>
                      <w:proofErr w:type="gramStart"/>
                      <w:r w:rsidRPr="00141F28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pt-BR"/>
                        </w:rPr>
                        <w:t>efetuada por meio de termo, conferido e dado como certo pelo encarregado responsável recebedor</w:t>
                      </w:r>
                      <w:proofErr w:type="gramEnd"/>
                      <w:r w:rsidRPr="00141F28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pt-BR"/>
                        </w:rPr>
                        <w:t>. As transferências de responsabilidade deverão ser efetuadas sempre mediante realização de inventário</w:t>
                      </w:r>
                    </w:p>
                  </w:txbxContent>
                </v:textbox>
              </v:shape>
            </w:pict>
          </mc:Fallback>
        </mc:AlternateContent>
      </w:r>
    </w:p>
    <w:p w:rsidR="00A95D39" w:rsidRPr="00A95D39" w:rsidRDefault="00A95D39" w:rsidP="00504E47">
      <w:pPr>
        <w:spacing w:before="100" w:beforeAutospacing="1" w:after="100" w:afterAutospacing="1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5D39" w:rsidRDefault="00A95D39" w:rsidP="00504E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5297" w:rsidRDefault="00EF5297" w:rsidP="00504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401E2" w:rsidRPr="00A3615B" w:rsidRDefault="009304D5" w:rsidP="00504E47">
      <w:pPr>
        <w:spacing w:before="100" w:beforeAutospacing="1" w:after="100" w:afterAutospacing="1" w:line="360" w:lineRule="auto"/>
        <w:jc w:val="both"/>
        <w:rPr>
          <w:rFonts w:ascii="Showcard Gothic" w:eastAsia="Times New Roman" w:hAnsi="Showcard Gothic" w:cs="Times New Roman"/>
          <w:sz w:val="26"/>
          <w:szCs w:val="26"/>
          <w:lang w:eastAsia="pt-BR"/>
        </w:rPr>
      </w:pPr>
      <w:r w:rsidRPr="00A3615B">
        <w:rPr>
          <w:rFonts w:ascii="Showcard Gothic" w:eastAsia="Times New Roman" w:hAnsi="Showcard Gothic" w:cs="Times New Roman"/>
          <w:sz w:val="26"/>
          <w:szCs w:val="26"/>
          <w:lang w:eastAsia="pt-BR"/>
        </w:rPr>
        <w:lastRenderedPageBreak/>
        <w:t>D</w:t>
      </w:r>
      <w:r w:rsidR="001401E2" w:rsidRPr="00A3615B">
        <w:rPr>
          <w:rFonts w:ascii="Showcard Gothic" w:eastAsia="Times New Roman" w:hAnsi="Showcard Gothic" w:cs="Times New Roman"/>
          <w:sz w:val="26"/>
          <w:szCs w:val="26"/>
          <w:lang w:eastAsia="pt-BR"/>
        </w:rPr>
        <w:t>A TRANSFERÊNCIA DE RESPONSABILIDADE</w:t>
      </w:r>
      <w:r w:rsidR="00CC7BD7" w:rsidRPr="00A3615B">
        <w:rPr>
          <w:rFonts w:ascii="Showcard Gothic" w:eastAsia="Times New Roman" w:hAnsi="Showcard Gothic" w:cs="Times New Roman"/>
          <w:sz w:val="26"/>
          <w:szCs w:val="26"/>
          <w:lang w:eastAsia="pt-BR"/>
        </w:rPr>
        <w:t xml:space="preserve"> </w:t>
      </w:r>
      <w:r w:rsidR="001401E2" w:rsidRPr="00A3615B">
        <w:rPr>
          <w:rFonts w:ascii="Showcard Gothic" w:eastAsia="Times New Roman" w:hAnsi="Showcard Gothic" w:cs="Times New Roman"/>
          <w:sz w:val="26"/>
          <w:szCs w:val="26"/>
          <w:lang w:eastAsia="pt-BR"/>
        </w:rPr>
        <w:t xml:space="preserve">PELA GUARDA DE BENS </w:t>
      </w:r>
    </w:p>
    <w:p w:rsidR="001401E2" w:rsidRPr="00CC7BD7" w:rsidRDefault="00CC7BD7" w:rsidP="00504E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46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</w:t>
      </w:r>
      <w:r w:rsidR="007914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encarregado de bens móveis</w:t>
      </w:r>
      <w:r w:rsidR="001401E2" w:rsidRPr="00514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ser desvinculado do cargo, </w:t>
      </w:r>
      <w:r w:rsidR="00514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ainda, ao ser desvinculado do setor ou </w:t>
      </w:r>
      <w:r w:rsidR="005146FF" w:rsidRPr="001C0E24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</w:t>
      </w:r>
      <w:r w:rsidR="001C0E24" w:rsidRPr="001C0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C0E24" w:rsidRPr="001C0E24">
        <w:rPr>
          <w:rFonts w:ascii="Times New Roman" w:eastAsia="Times New Roman" w:hAnsi="Times New Roman" w:cs="Times New Roman"/>
          <w:lang w:eastAsia="pt-BR"/>
        </w:rPr>
        <w:t>deverá se comunicar à gerência de patrimônio e</w:t>
      </w:r>
      <w:r w:rsidR="001401E2" w:rsidRPr="001C0E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01E2" w:rsidRPr="00514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passar </w:t>
      </w:r>
      <w:r w:rsidR="00514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imediatamente </w:t>
      </w:r>
      <w:r w:rsidR="001401E2" w:rsidRPr="005146FF">
        <w:rPr>
          <w:rFonts w:ascii="Times New Roman" w:eastAsia="Times New Roman" w:hAnsi="Times New Roman" w:cs="Times New Roman"/>
          <w:sz w:val="24"/>
          <w:szCs w:val="24"/>
          <w:lang w:eastAsia="pt-BR"/>
        </w:rPr>
        <w:t>a responsabilidade dos bens</w:t>
      </w:r>
      <w:r w:rsidR="005146FF" w:rsidRPr="00514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móveis sob sua guarda a outrem.</w:t>
      </w:r>
      <w:r w:rsidR="007813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C7BD7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i</w:t>
      </w:r>
      <w:r w:rsidR="001401E2" w:rsidRPr="00CC7BD7">
        <w:rPr>
          <w:rFonts w:ascii="Times New Roman" w:eastAsia="Times New Roman" w:hAnsi="Times New Roman" w:cs="Times New Roman"/>
          <w:sz w:val="24"/>
          <w:szCs w:val="24"/>
          <w:lang w:eastAsia="pt-BR"/>
        </w:rPr>
        <w:t>mpossibilitado de fazer pessoalmente a passagem de responsabilidade dos bens móveis, poderá delegar a terceiros essa tarefa.</w:t>
      </w:r>
    </w:p>
    <w:p w:rsidR="001401E2" w:rsidRPr="00CC7BD7" w:rsidRDefault="001401E2" w:rsidP="00504E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B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tendo o </w:t>
      </w:r>
      <w:r w:rsidR="00CC7BD7" w:rsidRPr="00CC7BD7">
        <w:rPr>
          <w:rFonts w:ascii="Times New Roman" w:eastAsia="Times New Roman" w:hAnsi="Times New Roman" w:cs="Times New Roman"/>
          <w:sz w:val="24"/>
          <w:szCs w:val="24"/>
          <w:lang w:eastAsia="pt-BR"/>
        </w:rPr>
        <w:t>agente patrimonial</w:t>
      </w:r>
      <w:r w:rsidRPr="00CC7B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procedido </w:t>
      </w:r>
      <w:r w:rsidR="00CC7BD7" w:rsidRPr="00CC7BD7">
        <w:rPr>
          <w:rFonts w:ascii="Times New Roman" w:eastAsia="Times New Roman" w:hAnsi="Times New Roman" w:cs="Times New Roman"/>
          <w:sz w:val="24"/>
          <w:szCs w:val="24"/>
          <w:lang w:eastAsia="pt-BR"/>
        </w:rPr>
        <w:t>a transferência de responsabilidade</w:t>
      </w:r>
      <w:r w:rsidRPr="00CC7B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063C5">
        <w:rPr>
          <w:rFonts w:ascii="Times New Roman" w:eastAsia="Times New Roman" w:hAnsi="Times New Roman" w:cs="Times New Roman"/>
          <w:sz w:val="24"/>
          <w:szCs w:val="24"/>
          <w:lang w:eastAsia="pt-BR"/>
        </w:rPr>
        <w:t>cabe ao Chefe de Labora</w:t>
      </w:r>
      <w:r w:rsidR="00B91C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tório/Setor comunicar oficialmente à Gerência de Patrimônio. Então, </w:t>
      </w:r>
      <w:r w:rsidR="001005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solicitado pela GPAT, </w:t>
      </w:r>
      <w:r w:rsidRPr="00CC7B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0D6CEA">
        <w:rPr>
          <w:rFonts w:ascii="Times New Roman" w:eastAsia="Times New Roman" w:hAnsi="Times New Roman" w:cs="Times New Roman"/>
          <w:sz w:val="24"/>
          <w:szCs w:val="24"/>
          <w:lang w:eastAsia="pt-BR"/>
        </w:rPr>
        <w:t>Re</w:t>
      </w:r>
      <w:r w:rsidR="00CC7BD7" w:rsidRPr="00CC7B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itor </w:t>
      </w:r>
      <w:r w:rsidRPr="00CC7BD7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deverá designar servidor ou instituir comissão especial (nos casos de carga mais vultosa</w:t>
      </w:r>
      <w:r w:rsidR="00CC7BD7" w:rsidRPr="00CC7B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bens</w:t>
      </w:r>
      <w:r w:rsidRPr="00CC7BD7">
        <w:rPr>
          <w:rFonts w:ascii="Times New Roman" w:eastAsia="Times New Roman" w:hAnsi="Times New Roman" w:cs="Times New Roman"/>
          <w:sz w:val="24"/>
          <w:szCs w:val="24"/>
          <w:lang w:eastAsia="pt-BR"/>
        </w:rPr>
        <w:t>), para conferência e passagem de responsabilidade dos bens móveis.</w:t>
      </w:r>
    </w:p>
    <w:p w:rsidR="002D6092" w:rsidRDefault="001401E2" w:rsidP="002D6092">
      <w:pPr>
        <w:spacing w:before="24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4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passagem de responsabilidade deverá ser realizada, </w:t>
      </w:r>
      <w:r w:rsidRPr="00A95D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obrigatoriamente, com a </w:t>
      </w:r>
      <w:r w:rsidRPr="00890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verificação física</w:t>
      </w:r>
      <w:r w:rsidRPr="00A95D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bens móveis </w:t>
      </w:r>
      <w:r w:rsidR="00A95D39">
        <w:rPr>
          <w:rFonts w:ascii="Times New Roman" w:eastAsia="Times New Roman" w:hAnsi="Times New Roman" w:cs="Times New Roman"/>
          <w:sz w:val="24"/>
          <w:szCs w:val="24"/>
          <w:lang w:eastAsia="pt-BR"/>
        </w:rPr>
        <w:t>em questão</w:t>
      </w:r>
      <w:r w:rsidRPr="00A95D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A95D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724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lavratura de </w:t>
      </w:r>
      <w:r w:rsidRPr="00890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Termo de </w:t>
      </w:r>
      <w:r w:rsidR="00D75A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de Responsabilidade de Bens Móveis</w:t>
      </w:r>
      <w:r w:rsidR="00890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890A53">
        <w:rPr>
          <w:rFonts w:ascii="Times New Roman" w:eastAsia="Times New Roman" w:hAnsi="Times New Roman" w:cs="Times New Roman"/>
          <w:sz w:val="24"/>
          <w:szCs w:val="24"/>
          <w:lang w:eastAsia="pt-BR"/>
        </w:rPr>
        <w:t>em modelo padrão</w:t>
      </w:r>
      <w:r w:rsidR="00926A14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</w:t>
      </w:r>
      <w:r w:rsidR="002D60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D6092" w:rsidRPr="00A3615B">
        <w:rPr>
          <w:rFonts w:ascii="Times New Roman" w:eastAsia="Times New Roman" w:hAnsi="Times New Roman" w:cs="Times New Roman"/>
          <w:lang w:eastAsia="pt-BR"/>
        </w:rPr>
        <w:t xml:space="preserve">Art. </w:t>
      </w:r>
      <w:r w:rsidR="002D6092">
        <w:rPr>
          <w:rFonts w:ascii="Times New Roman" w:eastAsia="Times New Roman" w:hAnsi="Times New Roman" w:cs="Times New Roman"/>
          <w:lang w:eastAsia="pt-BR"/>
        </w:rPr>
        <w:t>6º</w:t>
      </w:r>
      <w:r w:rsidR="002D6092" w:rsidRPr="00A3615B">
        <w:rPr>
          <w:rFonts w:ascii="Times New Roman" w:eastAsia="Times New Roman" w:hAnsi="Times New Roman" w:cs="Times New Roman"/>
          <w:lang w:eastAsia="pt-BR"/>
        </w:rPr>
        <w:t xml:space="preserve">, inciso </w:t>
      </w:r>
      <w:r w:rsidR="002D6092">
        <w:rPr>
          <w:rFonts w:ascii="Times New Roman" w:eastAsia="Times New Roman" w:hAnsi="Times New Roman" w:cs="Times New Roman"/>
          <w:lang w:eastAsia="pt-BR"/>
        </w:rPr>
        <w:t>I</w:t>
      </w:r>
      <w:r w:rsidR="002D6092" w:rsidRPr="00A3615B">
        <w:rPr>
          <w:rFonts w:ascii="Times New Roman" w:eastAsia="Times New Roman" w:hAnsi="Times New Roman" w:cs="Times New Roman"/>
          <w:lang w:eastAsia="pt-BR"/>
        </w:rPr>
        <w:t xml:space="preserve">V da Instrução Normativa AGE nº </w:t>
      </w:r>
      <w:r w:rsidR="002D6092">
        <w:rPr>
          <w:rFonts w:ascii="Times New Roman" w:eastAsia="Times New Roman" w:hAnsi="Times New Roman" w:cs="Times New Roman"/>
          <w:lang w:eastAsia="pt-BR"/>
        </w:rPr>
        <w:t>41</w:t>
      </w:r>
      <w:r w:rsidR="002D6092" w:rsidRPr="00A3615B">
        <w:rPr>
          <w:rFonts w:ascii="Times New Roman" w:eastAsia="Times New Roman" w:hAnsi="Times New Roman" w:cs="Times New Roman"/>
          <w:lang w:eastAsia="pt-BR"/>
        </w:rPr>
        <w:t>/1</w:t>
      </w:r>
      <w:r w:rsidR="002D6092">
        <w:rPr>
          <w:rFonts w:ascii="Times New Roman" w:eastAsia="Times New Roman" w:hAnsi="Times New Roman" w:cs="Times New Roman"/>
          <w:lang w:eastAsia="pt-BR"/>
        </w:rPr>
        <w:t>7,</w:t>
      </w:r>
      <w:r w:rsidR="00890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emitido pelo </w:t>
      </w:r>
      <w:r w:rsidR="001D3DF1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890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erente de </w:t>
      </w:r>
      <w:r w:rsidR="001D3DF1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890A53" w:rsidRPr="00D75A1B">
        <w:rPr>
          <w:rFonts w:ascii="Times New Roman" w:eastAsia="Times New Roman" w:hAnsi="Times New Roman" w:cs="Times New Roman"/>
          <w:sz w:val="24"/>
          <w:szCs w:val="24"/>
          <w:lang w:eastAsia="pt-BR"/>
        </w:rPr>
        <w:t>atrimônio</w:t>
      </w:r>
      <w:r w:rsidR="00D75A1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75A1B" w:rsidRPr="00D75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autenticado pelos </w:t>
      </w:r>
      <w:r w:rsidR="001D3DF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75A1B" w:rsidRPr="00D75A1B">
        <w:rPr>
          <w:rFonts w:ascii="Times New Roman" w:hAnsi="Times New Roman" w:cs="Times New Roman"/>
          <w:sz w:val="24"/>
          <w:szCs w:val="24"/>
          <w:shd w:val="clear" w:color="auto" w:fill="FFFFFF"/>
        </w:rPr>
        <w:t>ncarregados substituto e substituído</w:t>
      </w:r>
      <w:r w:rsidR="00D75A1B" w:rsidRPr="00D75A1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D60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522D9" w:rsidRPr="00A522D9" w:rsidRDefault="00A522D9" w:rsidP="002D6092">
      <w:pPr>
        <w:spacing w:before="24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22D9">
        <w:rPr>
          <w:rFonts w:ascii="Times New Roman" w:hAnsi="Times New Roman" w:cs="Times New Roman"/>
          <w:color w:val="000000"/>
          <w:sz w:val="24"/>
          <w:szCs w:val="24"/>
        </w:rPr>
        <w:t>Poderá ser emitido o Termo de Transferência de Responsabilidade de Bens Móveis, quando da substituição temporária do encarregado da subunidade.</w:t>
      </w:r>
    </w:p>
    <w:p w:rsidR="00890A53" w:rsidRDefault="00890A53" w:rsidP="00504E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verificação física deverá ser realizada pelo agente patrimonial que </w:t>
      </w:r>
      <w:r w:rsidRPr="004724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receberá o material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</w:t>
      </w:r>
      <w:r w:rsidRPr="004724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e, sempre que possível, deverá estar acompanhado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agente</w:t>
      </w:r>
      <w:r w:rsidRPr="004724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passará a responsabilidade.</w:t>
      </w:r>
    </w:p>
    <w:p w:rsidR="00CD6F7E" w:rsidRPr="004C0E01" w:rsidRDefault="00CD6F7E" w:rsidP="00504E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E01">
        <w:rPr>
          <w:rFonts w:ascii="Times New Roman" w:hAnsi="Times New Roman" w:cs="Times New Roman"/>
          <w:sz w:val="24"/>
          <w:szCs w:val="24"/>
          <w:shd w:val="clear" w:color="auto" w:fill="FFFFFF"/>
        </w:rPr>
        <w:t>A data do período de responsabilidade pela guarda e conservação dos bens do servidor substituído se inicia no dia subsequente ao da data do Termo de Transferência de Responsabilidade.</w:t>
      </w:r>
    </w:p>
    <w:p w:rsidR="00A17747" w:rsidRPr="00F74041" w:rsidRDefault="00A17747" w:rsidP="00504E4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0E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Termo de Transferência de Responsabilidade deverá ser devolvido à </w:t>
      </w:r>
      <w:r w:rsidR="001D3DF1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4C0E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erência de </w:t>
      </w:r>
      <w:r w:rsidR="001D3DF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4C0E01">
        <w:rPr>
          <w:rFonts w:ascii="Times New Roman" w:hAnsi="Times New Roman" w:cs="Times New Roman"/>
          <w:sz w:val="24"/>
          <w:szCs w:val="24"/>
          <w:shd w:val="clear" w:color="auto" w:fill="FFFFFF"/>
        </w:rPr>
        <w:t>atrimônio</w:t>
      </w:r>
      <w:r w:rsidR="00DF1364" w:rsidRPr="004C0E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e, caso não se </w:t>
      </w:r>
      <w:r w:rsidRPr="004C0E01">
        <w:rPr>
          <w:rFonts w:ascii="Times New Roman" w:hAnsi="Times New Roman" w:cs="Times New Roman"/>
          <w:sz w:val="24"/>
          <w:szCs w:val="24"/>
          <w:shd w:val="clear" w:color="auto" w:fill="FFFFFF"/>
        </w:rPr>
        <w:t>verifi</w:t>
      </w:r>
      <w:r w:rsidR="00DF1364" w:rsidRPr="004C0E01">
        <w:rPr>
          <w:rFonts w:ascii="Times New Roman" w:hAnsi="Times New Roman" w:cs="Times New Roman"/>
          <w:sz w:val="24"/>
          <w:szCs w:val="24"/>
          <w:shd w:val="clear" w:color="auto" w:fill="FFFFFF"/>
        </w:rPr>
        <w:t>que</w:t>
      </w:r>
      <w:r w:rsidRPr="004C0E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impropriedade ou irregularidade que comprometa a transferência da responsabilidade dos bens, </w:t>
      </w:r>
      <w:r w:rsidRPr="00F74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1D3DF1" w:rsidRPr="00F74041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F74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estor de </w:t>
      </w:r>
      <w:r w:rsidR="001D3DF1" w:rsidRPr="00F74041">
        <w:rPr>
          <w:rFonts w:ascii="Times New Roman" w:hAnsi="Times New Roman" w:cs="Times New Roman"/>
          <w:sz w:val="24"/>
          <w:szCs w:val="24"/>
          <w:shd w:val="clear" w:color="auto" w:fill="FFFFFF"/>
        </w:rPr>
        <w:t>bens m</w:t>
      </w:r>
      <w:r w:rsidRPr="00F74041">
        <w:rPr>
          <w:rFonts w:ascii="Times New Roman" w:hAnsi="Times New Roman" w:cs="Times New Roman"/>
          <w:sz w:val="24"/>
          <w:szCs w:val="24"/>
          <w:shd w:val="clear" w:color="auto" w:fill="FFFFFF"/>
        </w:rPr>
        <w:t>óveis emitirá </w:t>
      </w:r>
      <w:hyperlink r:id="rId9" w:history="1">
        <w:r w:rsidRPr="00F7404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Termo de Nada Consta</w:t>
        </w:r>
      </w:hyperlink>
      <w:r w:rsidRPr="00F74041">
        <w:rPr>
          <w:rFonts w:ascii="Times New Roman" w:hAnsi="Times New Roman" w:cs="Times New Roman"/>
          <w:sz w:val="24"/>
          <w:szCs w:val="24"/>
          <w:shd w:val="clear" w:color="auto" w:fill="FFFFFF"/>
        </w:rPr>
        <w:t> para o Encarregado da Subunidade. </w:t>
      </w:r>
    </w:p>
    <w:p w:rsidR="00A17747" w:rsidRPr="00C67ADC" w:rsidRDefault="00A17747" w:rsidP="00504E4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A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 transferência da responsabilidade poderá ocorrer ainda que esteja configurado o desaparecimento ou a não localização de bem, não recaindo para o substituto a responsabilidade por impropriedades ou irregularidades ocorridas na gestão do substituído, desde que estas estejam relatadas no Termo de Transferência de Responsabilidade. </w:t>
      </w:r>
    </w:p>
    <w:p w:rsidR="00A17747" w:rsidRDefault="00A17747" w:rsidP="00504E4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Caberá </w:t>
      </w:r>
      <w:r w:rsidR="003940E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C67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apuração de responsabilidade, na forma da legislação vigente, se ficar configurado no Termo de Transferência de Responsabilidade o desaparecimento ou </w:t>
      </w:r>
      <w:r w:rsidR="00471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C67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não localização de bem anteriormente arrolado na </w:t>
      </w:r>
      <w:r w:rsidR="007F1C2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CA42B0">
        <w:rPr>
          <w:rFonts w:ascii="Times New Roman" w:hAnsi="Times New Roman" w:cs="Times New Roman"/>
          <w:sz w:val="24"/>
          <w:szCs w:val="24"/>
          <w:shd w:val="clear" w:color="auto" w:fill="FFFFFF"/>
        </w:rPr>
        <w:t>ubunidade;</w:t>
      </w:r>
    </w:p>
    <w:p w:rsidR="00CA42B0" w:rsidRPr="00CA42B0" w:rsidRDefault="00CA42B0" w:rsidP="00504E4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42B0">
        <w:rPr>
          <w:rFonts w:ascii="Times New Roman" w:hAnsi="Times New Roman" w:cs="Times New Roman"/>
          <w:sz w:val="24"/>
          <w:szCs w:val="24"/>
          <w:shd w:val="clear" w:color="auto" w:fill="FFFFFF"/>
        </w:rPr>
        <w:t>A data do período de responsabilidade pela guarda e conservação dos bens do servidor substituído se inicia no dia subsequente ao da data do Termo de Transferência de Responsabilidade.</w:t>
      </w:r>
    </w:p>
    <w:p w:rsidR="00B30BAE" w:rsidRPr="00F74041" w:rsidRDefault="00B30BAE" w:rsidP="00504E47">
      <w:pPr>
        <w:spacing w:before="100" w:beforeAutospacing="1" w:after="100" w:afterAutospacing="1" w:line="360" w:lineRule="auto"/>
        <w:jc w:val="both"/>
        <w:rPr>
          <w:rFonts w:ascii="Showcard Gothic" w:eastAsia="Times New Roman" w:hAnsi="Showcard Gothic" w:cs="Times New Roman"/>
          <w:sz w:val="26"/>
          <w:szCs w:val="26"/>
          <w:lang w:eastAsia="pt-BR"/>
        </w:rPr>
      </w:pPr>
      <w:r w:rsidRPr="00F74041">
        <w:rPr>
          <w:rFonts w:ascii="Showcard Gothic" w:eastAsia="Times New Roman" w:hAnsi="Showcard Gothic" w:cs="Times New Roman"/>
          <w:sz w:val="26"/>
          <w:szCs w:val="26"/>
          <w:lang w:eastAsia="pt-BR"/>
        </w:rPr>
        <w:t>DA EMISSÃO DO NADA CONSTA</w:t>
      </w:r>
    </w:p>
    <w:p w:rsidR="00B30BAE" w:rsidRPr="00F74041" w:rsidRDefault="00C23BD9" w:rsidP="00504E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Termo de </w:t>
      </w:r>
      <w:r w:rsidRPr="00F74041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Nada Consta</w:t>
      </w:r>
      <w:r w:rsidRPr="00F74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foi regulamentado na UENF por meio do Ato Executivo nº 01, de 28/05/2013, sendo estabelecido que </w:t>
      </w:r>
      <w:proofErr w:type="gramStart"/>
      <w:r w:rsidRPr="00F74041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deverá</w:t>
      </w:r>
      <w:proofErr w:type="gramEnd"/>
      <w:r w:rsidRPr="00F74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solicitado o referido documento à Gerência de Patrimônio para ser apresentado à Gerência de Recursos Humanos nas solicitações de afastamento temporário ou definitivo</w:t>
      </w:r>
      <w:r w:rsidR="007D04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(vide Anexo II)</w:t>
      </w:r>
      <w:r w:rsidRPr="00F74041">
        <w:rPr>
          <w:rFonts w:ascii="Times New Roman" w:eastAsia="Times New Roman" w:hAnsi="Times New Roman" w:cs="Times New Roman"/>
          <w:sz w:val="24"/>
          <w:szCs w:val="24"/>
          <w:lang w:eastAsia="pt-BR"/>
        </w:rPr>
        <w:t>, juntamente com os demais documentos necessários em cada caso.</w:t>
      </w:r>
    </w:p>
    <w:p w:rsidR="00C23BD9" w:rsidRPr="00F74041" w:rsidRDefault="00016AB1" w:rsidP="00504E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emissão do documento com declaração de Nada Consta pela Gerência de Patrimônio está vinculada à regularização de todas as pendências do servidor junto ao setor, principalmente pela </w:t>
      </w:r>
      <w:proofErr w:type="gramStart"/>
      <w:r w:rsidRPr="00F74041">
        <w:rPr>
          <w:rFonts w:ascii="Times New Roman" w:eastAsia="Times New Roman" w:hAnsi="Times New Roman" w:cs="Times New Roman"/>
          <w:sz w:val="24"/>
          <w:szCs w:val="24"/>
          <w:lang w:eastAsia="pt-BR"/>
        </w:rPr>
        <w:t>transferência</w:t>
      </w:r>
      <w:r w:rsidR="00F74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7404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F74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74041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responsabilidade</w:t>
      </w:r>
      <w:r w:rsidR="00F74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74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="00F74041" w:rsidRPr="00F74041">
        <w:rPr>
          <w:rFonts w:ascii="Times New Roman" w:eastAsia="Times New Roman" w:hAnsi="Times New Roman" w:cs="Times New Roman"/>
          <w:sz w:val="24"/>
          <w:szCs w:val="24"/>
          <w:lang w:eastAsia="pt-BR"/>
        </w:rPr>
        <w:t>encarregado de bens móveis</w:t>
      </w:r>
      <w:proofErr w:type="gramEnd"/>
      <w:r w:rsidRPr="00F74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Porém, a obrigatoriedade de apresentação do documento não é apenas para os agentes patrimoniais. O documento deverá ser exigido para todos os servidores, na qualidade de usuários de bens públicos no exercício da função e responsáveis </w:t>
      </w:r>
      <w:r w:rsidR="00A02A5B" w:rsidRPr="00F74041">
        <w:rPr>
          <w:rFonts w:ascii="Times New Roman" w:eastAsia="Times New Roman" w:hAnsi="Times New Roman" w:cs="Times New Roman"/>
          <w:sz w:val="24"/>
          <w:szCs w:val="24"/>
          <w:lang w:eastAsia="pt-BR"/>
        </w:rPr>
        <w:t>pelos bens que lhe são confiados.</w:t>
      </w:r>
    </w:p>
    <w:p w:rsidR="00A02A5B" w:rsidRPr="00016AB1" w:rsidRDefault="00145298" w:rsidP="00504E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529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dar sequê</w:t>
      </w:r>
      <w:r w:rsidR="00A02A5B" w:rsidRPr="00145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ncia ao processo de afastamento é imprescindível a apresentação do servidor à Gerência de Patrimônio dando início à transferência de responsabilidade e assinatura de documentos necessários. </w:t>
      </w:r>
      <w:r w:rsidR="00885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Todavia, qualquer pendência verificada não é motivo de impedimento de afastamento. </w:t>
      </w:r>
      <w:r w:rsidR="00736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observação da pendência integrará </w:t>
      </w:r>
      <w:r w:rsidR="00751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751C56" w:rsidRPr="00751C5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Nada Consta</w:t>
      </w:r>
      <w:r w:rsidR="00751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36E21">
        <w:rPr>
          <w:rFonts w:ascii="Times New Roman" w:eastAsia="Times New Roman" w:hAnsi="Times New Roman" w:cs="Times New Roman"/>
          <w:sz w:val="24"/>
          <w:szCs w:val="24"/>
          <w:lang w:eastAsia="pt-BR"/>
        </w:rPr>
        <w:t>destacando a necessidade de regularização após o retorno do requerente.</w:t>
      </w:r>
      <w:r w:rsidR="00751C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41F28" w:rsidRPr="00A3615B" w:rsidRDefault="00141F28" w:rsidP="00504E47">
      <w:pPr>
        <w:spacing w:before="100" w:beforeAutospacing="1" w:after="100" w:afterAutospacing="1" w:line="360" w:lineRule="auto"/>
        <w:jc w:val="both"/>
        <w:rPr>
          <w:rFonts w:ascii="Showcard Gothic" w:eastAsia="Times New Roman" w:hAnsi="Showcard Gothic" w:cs="Times New Roman"/>
          <w:sz w:val="26"/>
          <w:szCs w:val="26"/>
          <w:lang w:eastAsia="pt-BR"/>
        </w:rPr>
      </w:pPr>
      <w:r w:rsidRPr="00A3615B">
        <w:rPr>
          <w:rFonts w:ascii="Showcard Gothic" w:eastAsia="Times New Roman" w:hAnsi="Showcard Gothic" w:cs="Times New Roman"/>
          <w:sz w:val="26"/>
          <w:szCs w:val="26"/>
          <w:lang w:eastAsia="pt-BR"/>
        </w:rPr>
        <w:lastRenderedPageBreak/>
        <w:t>DO CONTROLE PATRIMONIAL</w:t>
      </w:r>
    </w:p>
    <w:p w:rsidR="00141F28" w:rsidRPr="003C3DB8" w:rsidRDefault="00141F28" w:rsidP="00504E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3D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3C3D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Universidade, como órgão do Estado, tem o dever de </w:t>
      </w:r>
      <w:r w:rsidRPr="003C3DB8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registrar e acompanhar a movimentação dos bens móveis desde o seu recebimento até a sua destinação final, sendo obrigatória a realização de:</w:t>
      </w:r>
    </w:p>
    <w:p w:rsidR="00141F28" w:rsidRDefault="00141F28" w:rsidP="00504E47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3D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Inventário </w:t>
      </w:r>
      <w:r w:rsidRPr="002C7D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Anual: </w:t>
      </w:r>
      <w:r w:rsidRPr="002C7DAF">
        <w:rPr>
          <w:rFonts w:ascii="Times New Roman" w:hAnsi="Times New Roman" w:cs="Times New Roman"/>
          <w:color w:val="000000"/>
          <w:sz w:val="24"/>
          <w:szCs w:val="24"/>
        </w:rPr>
        <w:t>destinado a comprovar a quantidade e o saldo dos bens móveis da unidade gestora, em 31 de dezembro de cada exercício, constituído do inventário anterior e das variações patrimoniais ocorridas durante o exercício</w:t>
      </w:r>
      <w:r>
        <w:rPr>
          <w:color w:val="000000"/>
          <w:sz w:val="27"/>
          <w:szCs w:val="27"/>
        </w:rPr>
        <w:t>;</w:t>
      </w:r>
    </w:p>
    <w:p w:rsidR="00141F28" w:rsidRPr="00422FC0" w:rsidRDefault="00141F28" w:rsidP="00504E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retirada de um bem móvel da carga de um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Encarregado de Bens Móveis</w:t>
      </w:r>
      <w:r w:rsidRPr="00422FC0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autorização do Reitor, será efetuada em caso de:</w:t>
      </w:r>
    </w:p>
    <w:p w:rsidR="00141F28" w:rsidRPr="002952BB" w:rsidRDefault="00141F28" w:rsidP="00504E47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2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</w:t>
      </w:r>
      <w:r w:rsidRPr="00295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ransferência do bem móvel para outro </w:t>
      </w:r>
      <w:r w:rsidR="000D1BC3">
        <w:rPr>
          <w:rFonts w:ascii="Times New Roman" w:eastAsia="Times New Roman" w:hAnsi="Times New Roman" w:cs="Times New Roman"/>
          <w:sz w:val="24"/>
          <w:szCs w:val="24"/>
          <w:lang w:eastAsia="pt-BR"/>
        </w:rPr>
        <w:t>encarregado de bens</w:t>
      </w:r>
      <w:r w:rsidRPr="00295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para outro órgão;</w:t>
      </w:r>
    </w:p>
    <w:p w:rsidR="00141F28" w:rsidRDefault="00141F28" w:rsidP="00504E47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2BB">
        <w:rPr>
          <w:rFonts w:ascii="Times New Roman" w:eastAsia="Times New Roman" w:hAnsi="Times New Roman" w:cs="Times New Roman"/>
          <w:sz w:val="24"/>
          <w:szCs w:val="24"/>
          <w:lang w:eastAsia="pt-BR"/>
        </w:rPr>
        <w:t>Saída de bem móvel ocioso, recuperável, antieconômico ou inservível;</w:t>
      </w:r>
    </w:p>
    <w:p w:rsidR="00141F28" w:rsidRPr="002952BB" w:rsidRDefault="00141F28" w:rsidP="00504E47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2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Pr="002952BB">
        <w:rPr>
          <w:rFonts w:ascii="Times New Roman" w:eastAsia="Times New Roman" w:hAnsi="Times New Roman" w:cs="Times New Roman"/>
          <w:sz w:val="24"/>
          <w:szCs w:val="24"/>
          <w:lang w:eastAsia="pt-BR"/>
        </w:rPr>
        <w:t>aída por perda</w:t>
      </w:r>
      <w:r w:rsidR="00817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176FF" w:rsidRPr="00FF10CB">
        <w:rPr>
          <w:rFonts w:ascii="Times New Roman" w:eastAsia="Times New Roman" w:hAnsi="Times New Roman" w:cs="Times New Roman"/>
          <w:sz w:val="24"/>
          <w:szCs w:val="24"/>
          <w:lang w:eastAsia="pt-BR"/>
        </w:rPr>
        <w:t>subtração ou deterioração culposa ou dolosa de bens</w:t>
      </w:r>
      <w:r w:rsidR="00817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176FF" w:rsidRPr="00FF10CB">
        <w:rPr>
          <w:rFonts w:ascii="Times New Roman" w:eastAsia="Times New Roman" w:hAnsi="Times New Roman" w:cs="Times New Roman"/>
          <w:sz w:val="24"/>
          <w:szCs w:val="24"/>
          <w:lang w:eastAsia="pt-BR"/>
        </w:rPr>
        <w:t>do Estado</w:t>
      </w:r>
      <w:r w:rsidR="00817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176FF" w:rsidRPr="00FF10CB">
        <w:rPr>
          <w:rFonts w:ascii="Times New Roman" w:eastAsia="Times New Roman" w:hAnsi="Times New Roman" w:cs="Times New Roman"/>
          <w:sz w:val="24"/>
          <w:szCs w:val="24"/>
          <w:lang w:eastAsia="pt-BR"/>
        </w:rPr>
        <w:t>por consequência da ação, omissão</w:t>
      </w:r>
      <w:r w:rsidR="00817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176FF" w:rsidRPr="00FF10CB">
        <w:rPr>
          <w:rFonts w:ascii="Times New Roman" w:eastAsia="Times New Roman" w:hAnsi="Times New Roman" w:cs="Times New Roman"/>
          <w:sz w:val="24"/>
          <w:szCs w:val="24"/>
          <w:lang w:eastAsia="pt-BR"/>
        </w:rPr>
        <w:t>negligência</w:t>
      </w:r>
      <w:r w:rsidR="00817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</w:t>
      </w:r>
      <w:r w:rsidRPr="00295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decorrência de casos fortuitos ou motivos de força maior, que independem da vontade dos responsáveis, mediante apuração administrativa;</w:t>
      </w:r>
    </w:p>
    <w:p w:rsidR="00141F28" w:rsidRDefault="00141F28" w:rsidP="00504E47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2BB">
        <w:rPr>
          <w:rFonts w:ascii="Times New Roman" w:eastAsia="Times New Roman" w:hAnsi="Times New Roman" w:cs="Times New Roman"/>
          <w:sz w:val="24"/>
          <w:szCs w:val="24"/>
          <w:lang w:eastAsia="pt-BR"/>
        </w:rPr>
        <w:t>Saída por extravio do bem móvel em decorrência de culpa ou dolo do responsável, mediante apuração administrativa.</w:t>
      </w:r>
    </w:p>
    <w:p w:rsidR="00422FC0" w:rsidRPr="006C1FF1" w:rsidRDefault="00422FC0" w:rsidP="00504E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D1B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 movimentar os bens móveis deverão ser emitidas as </w:t>
      </w:r>
      <w:r w:rsidRPr="006C1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guias de remanejamento, de recolhimento e a cautela.</w:t>
      </w:r>
    </w:p>
    <w:p w:rsidR="00422FC0" w:rsidRPr="000D1BC3" w:rsidRDefault="00422FC0" w:rsidP="00504E47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D1B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A6C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 w:rsidRPr="000D1B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emanejamento</w:t>
      </w:r>
      <w:r w:rsidR="001A6C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caso d</w:t>
      </w:r>
      <w:r w:rsidRPr="000D1B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movimentação física do bem móvel, entre as unidades administrativas e/ou subunidades. </w:t>
      </w:r>
      <w:r w:rsidR="004113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bookmarkStart w:id="0" w:name="_GoBack"/>
      <w:bookmarkEnd w:id="0"/>
      <w:r w:rsidRPr="000D1B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guia de remanejamento de bens móveis deverá ser enviada ao gestor de bens móveis da unidade gestora.</w:t>
      </w:r>
    </w:p>
    <w:p w:rsidR="00422FC0" w:rsidRPr="000D1BC3" w:rsidRDefault="00422FC0" w:rsidP="00504E47">
      <w:pPr>
        <w:pStyle w:val="PargrafodaLista"/>
        <w:spacing w:before="100" w:beforeAutospacing="1" w:after="100" w:afterAutospacing="1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D1B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22FC0" w:rsidRPr="001F3479" w:rsidRDefault="00422FC0" w:rsidP="00504E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3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Bem móvel de uso exclusivo caracteriza-se por </w:t>
      </w:r>
      <w:proofErr w:type="gramStart"/>
      <w:r w:rsidRPr="001F3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</w:t>
      </w:r>
      <w:proofErr w:type="gramEnd"/>
      <w:r w:rsidRPr="001F3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bem cedido para uso individual do servidor, em razão da necessidade de serviço, a exemplo de computadores portáteis, aparelhos de telefonia celular, unidades portáteis de armazenamento de dados, armamentos, animais, entre outros.</w:t>
      </w:r>
    </w:p>
    <w:p w:rsidR="001F3479" w:rsidRDefault="00422FC0" w:rsidP="00141F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3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Quando o usuário solicitar o bem móvel para uso individual fora do local de trabalho deve ser </w:t>
      </w:r>
      <w:proofErr w:type="gramStart"/>
      <w:r w:rsidRPr="001F3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emitida</w:t>
      </w:r>
      <w:proofErr w:type="gramEnd"/>
      <w:r w:rsidRPr="001F34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cautela por meio de termo próprio, devidamente assinada pelo usuário, assim como sua respectiva baixa.</w:t>
      </w:r>
    </w:p>
    <w:p w:rsidR="00DB6657" w:rsidRDefault="00497A46" w:rsidP="00141F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r w:rsidR="00141F28" w:rsidRPr="00C21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Os controles realizados no âmbito da Universidade, por meio da Gerência de Patrimônio são insuficientes para preservação e conservação dos bens, sendo essencial o zelo do agente pelo patrimônio público. </w:t>
      </w:r>
    </w:p>
    <w:p w:rsidR="00141F28" w:rsidRPr="00F74041" w:rsidRDefault="00497A46" w:rsidP="00141F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r w:rsidR="00141F28" w:rsidRPr="00F740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Novos procedimentos de controle adotados com sucesso pelos encarregados serão considerados e multiplicados buscando o crescimento institucional. Portanto, a Gerência de Patrimônio gostaria de conhecer suas propostas. </w:t>
      </w:r>
    </w:p>
    <w:p w:rsidR="00141F28" w:rsidRDefault="00141F28" w:rsidP="00141F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141F28" w:rsidRPr="00A3615B" w:rsidRDefault="00141F28" w:rsidP="00141F28">
      <w:pPr>
        <w:spacing w:before="100" w:beforeAutospacing="1" w:after="100" w:afterAutospacing="1" w:line="360" w:lineRule="auto"/>
        <w:jc w:val="both"/>
        <w:rPr>
          <w:rFonts w:ascii="Showcard Gothic" w:eastAsia="Times New Roman" w:hAnsi="Showcard Gothic" w:cs="Times New Roman"/>
          <w:sz w:val="26"/>
          <w:szCs w:val="26"/>
          <w:lang w:eastAsia="pt-BR"/>
        </w:rPr>
      </w:pPr>
      <w:r w:rsidRPr="00A3615B">
        <w:rPr>
          <w:rFonts w:ascii="Showcard Gothic" w:eastAsia="Times New Roman" w:hAnsi="Showcard Gothic" w:cs="Times New Roman"/>
          <w:sz w:val="26"/>
          <w:szCs w:val="26"/>
          <w:lang w:eastAsia="pt-BR"/>
        </w:rPr>
        <w:t>DA PRESTAÇÃO DE CONTAS</w:t>
      </w:r>
      <w:r>
        <w:rPr>
          <w:rFonts w:ascii="Showcard Gothic" w:eastAsia="Times New Roman" w:hAnsi="Showcard Gothic" w:cs="Times New Roman"/>
          <w:sz w:val="26"/>
          <w:szCs w:val="26"/>
          <w:lang w:eastAsia="pt-BR"/>
        </w:rPr>
        <w:t>:</w:t>
      </w:r>
    </w:p>
    <w:p w:rsidR="00141F28" w:rsidRPr="00755756" w:rsidRDefault="00141F28" w:rsidP="00141F2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2952BB">
        <w:t xml:space="preserve">Anualmente, a </w:t>
      </w:r>
      <w:r w:rsidRPr="00755756">
        <w:t xml:space="preserve">UENF deverá demonstrar </w:t>
      </w:r>
      <w:proofErr w:type="gramStart"/>
      <w:r w:rsidRPr="00755756">
        <w:t>a composição do acervo de bens móveis da Unidade, por Subunidade e conta contábil, a movimentação</w:t>
      </w:r>
      <w:proofErr w:type="gramEnd"/>
      <w:r w:rsidRPr="00755756">
        <w:t xml:space="preserve"> dos bens e baixas ocorridas no período.</w:t>
      </w:r>
    </w:p>
    <w:p w:rsidR="00141F28" w:rsidRPr="00A824CB" w:rsidRDefault="00141F28" w:rsidP="00141F28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141F28" w:rsidRDefault="00141F28" w:rsidP="00141F28">
      <w:pPr>
        <w:shd w:val="clear" w:color="auto" w:fill="BFBFBF" w:themeFill="background1" w:themeFillShade="BF"/>
        <w:spacing w:before="100" w:beforeAutospacing="1" w:after="100" w:afterAutospacing="1" w:line="360" w:lineRule="auto"/>
        <w:ind w:firstLine="708"/>
        <w:jc w:val="both"/>
        <w:rPr>
          <w:rFonts w:ascii="Teen Light" w:eastAsia="Times New Roman" w:hAnsi="Teen Light" w:cs="Times New Roman"/>
          <w:b/>
          <w:sz w:val="28"/>
          <w:szCs w:val="28"/>
          <w:lang w:eastAsia="pt-BR"/>
        </w:rPr>
      </w:pPr>
      <w:r w:rsidRPr="00457EEF">
        <w:rPr>
          <w:rFonts w:ascii="Teen Light" w:eastAsia="Times New Roman" w:hAnsi="Teen Light" w:cs="Times New Roman"/>
          <w:b/>
          <w:sz w:val="28"/>
          <w:szCs w:val="28"/>
          <w:lang w:eastAsia="pt-BR"/>
        </w:rPr>
        <w:t xml:space="preserve">De forma a atender esta obrigação, torna-se de imprescindível que os agentes patrimoniais passem a apresentar seus Arrolamentos </w:t>
      </w:r>
      <w:r w:rsidR="003940EE">
        <w:rPr>
          <w:rFonts w:ascii="Teen Light" w:eastAsia="Times New Roman" w:hAnsi="Teen Light" w:cs="Times New Roman"/>
          <w:b/>
          <w:sz w:val="28"/>
          <w:szCs w:val="28"/>
          <w:lang w:eastAsia="pt-BR"/>
        </w:rPr>
        <w:t xml:space="preserve">(Modelo 11) </w:t>
      </w:r>
      <w:r w:rsidRPr="00457EEF">
        <w:rPr>
          <w:rFonts w:ascii="Teen Light" w:eastAsia="Times New Roman" w:hAnsi="Teen Light" w:cs="Times New Roman"/>
          <w:b/>
          <w:sz w:val="28"/>
          <w:szCs w:val="28"/>
          <w:lang w:eastAsia="pt-BR"/>
        </w:rPr>
        <w:t>Anuais conferidos e assinados no prazo máximo até o dia 20 de fevereiro de cada ano.</w:t>
      </w:r>
    </w:p>
    <w:p w:rsidR="00141F28" w:rsidRPr="00457EEF" w:rsidRDefault="00141F28" w:rsidP="00141F28">
      <w:pPr>
        <w:shd w:val="clear" w:color="auto" w:fill="BFBFBF" w:themeFill="background1" w:themeFillShade="BF"/>
        <w:spacing w:before="100" w:beforeAutospacing="1" w:after="100" w:afterAutospacing="1" w:line="360" w:lineRule="auto"/>
        <w:jc w:val="center"/>
        <w:rPr>
          <w:rFonts w:ascii="Teen Light" w:eastAsia="Times New Roman" w:hAnsi="Teen Light" w:cs="Times New Roman"/>
          <w:b/>
          <w:sz w:val="28"/>
          <w:szCs w:val="28"/>
          <w:lang w:eastAsia="pt-BR"/>
        </w:rPr>
      </w:pPr>
      <w:r w:rsidRPr="00A3615B">
        <w:rPr>
          <w:rFonts w:ascii="Teen Light" w:eastAsia="Times New Roman" w:hAnsi="Teen Light" w:cs="Times New Roman"/>
          <w:b/>
          <w:sz w:val="26"/>
          <w:szCs w:val="26"/>
          <w:lang w:eastAsia="pt-BR"/>
        </w:rPr>
        <w:t>O documento ser</w:t>
      </w:r>
      <w:r>
        <w:rPr>
          <w:rFonts w:ascii="Teen Light" w:eastAsia="Times New Roman" w:hAnsi="Teen Light" w:cs="Times New Roman"/>
          <w:b/>
          <w:sz w:val="26"/>
          <w:szCs w:val="26"/>
          <w:lang w:eastAsia="pt-BR"/>
        </w:rPr>
        <w:t>á</w:t>
      </w:r>
      <w:r w:rsidRPr="00A3615B">
        <w:rPr>
          <w:rFonts w:ascii="Teen Light" w:eastAsia="Times New Roman" w:hAnsi="Teen Light" w:cs="Times New Roman"/>
          <w:b/>
          <w:sz w:val="26"/>
          <w:szCs w:val="26"/>
          <w:lang w:eastAsia="pt-BR"/>
        </w:rPr>
        <w:t xml:space="preserve"> emitido pela Gerência de Patrimônio</w:t>
      </w:r>
      <w:r>
        <w:rPr>
          <w:rFonts w:ascii="Teen Light" w:eastAsia="Times New Roman" w:hAnsi="Teen Light" w:cs="Times New Roman"/>
          <w:b/>
          <w:sz w:val="28"/>
          <w:szCs w:val="28"/>
          <w:lang w:eastAsia="pt-BR"/>
        </w:rPr>
        <w:t>.</w:t>
      </w:r>
    </w:p>
    <w:p w:rsidR="004D428C" w:rsidRDefault="004D428C" w:rsidP="004D42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22D9" w:rsidRDefault="00A522D9" w:rsidP="00C23BD9">
      <w:pPr>
        <w:spacing w:after="0" w:line="240" w:lineRule="auto"/>
      </w:pPr>
    </w:p>
    <w:p w:rsidR="00A522D9" w:rsidRDefault="002C30FE" w:rsidP="002C30FE">
      <w:pPr>
        <w:tabs>
          <w:tab w:val="left" w:pos="3500"/>
        </w:tabs>
        <w:spacing w:after="0" w:line="240" w:lineRule="auto"/>
      </w:pPr>
      <w:r>
        <w:tab/>
      </w:r>
    </w:p>
    <w:p w:rsidR="002C30FE" w:rsidRDefault="002C30FE" w:rsidP="002C30FE">
      <w:pPr>
        <w:tabs>
          <w:tab w:val="left" w:pos="3500"/>
        </w:tabs>
        <w:spacing w:after="0" w:line="240" w:lineRule="auto"/>
      </w:pPr>
    </w:p>
    <w:p w:rsidR="002C30FE" w:rsidRDefault="002C30FE" w:rsidP="002C30FE">
      <w:pPr>
        <w:tabs>
          <w:tab w:val="left" w:pos="3500"/>
        </w:tabs>
        <w:spacing w:after="0" w:line="240" w:lineRule="auto"/>
      </w:pPr>
    </w:p>
    <w:p w:rsidR="002C30FE" w:rsidRDefault="002C30FE" w:rsidP="002C30FE">
      <w:pPr>
        <w:tabs>
          <w:tab w:val="left" w:pos="3500"/>
        </w:tabs>
        <w:spacing w:after="0" w:line="240" w:lineRule="auto"/>
      </w:pPr>
    </w:p>
    <w:p w:rsidR="002C30FE" w:rsidRDefault="002C30FE" w:rsidP="002C30FE">
      <w:pPr>
        <w:tabs>
          <w:tab w:val="left" w:pos="3500"/>
        </w:tabs>
        <w:spacing w:after="0" w:line="240" w:lineRule="auto"/>
      </w:pPr>
    </w:p>
    <w:p w:rsidR="002C30FE" w:rsidRDefault="002C30FE" w:rsidP="002C30FE">
      <w:pPr>
        <w:tabs>
          <w:tab w:val="left" w:pos="3500"/>
        </w:tabs>
        <w:spacing w:after="0" w:line="240" w:lineRule="auto"/>
      </w:pPr>
    </w:p>
    <w:p w:rsidR="002C30FE" w:rsidRDefault="002C30FE" w:rsidP="002C30FE">
      <w:pPr>
        <w:tabs>
          <w:tab w:val="left" w:pos="3500"/>
        </w:tabs>
        <w:spacing w:after="0" w:line="240" w:lineRule="auto"/>
      </w:pPr>
    </w:p>
    <w:p w:rsidR="002C30FE" w:rsidRDefault="002C30FE" w:rsidP="002C30FE">
      <w:pPr>
        <w:tabs>
          <w:tab w:val="left" w:pos="3500"/>
        </w:tabs>
        <w:spacing w:after="0" w:line="240" w:lineRule="auto"/>
      </w:pPr>
    </w:p>
    <w:p w:rsidR="002C30FE" w:rsidRDefault="002C30FE" w:rsidP="002C30FE">
      <w:pPr>
        <w:tabs>
          <w:tab w:val="left" w:pos="3500"/>
        </w:tabs>
        <w:spacing w:after="0" w:line="240" w:lineRule="auto"/>
      </w:pPr>
    </w:p>
    <w:p w:rsidR="00A522D9" w:rsidRDefault="00A522D9" w:rsidP="00C23BD9">
      <w:pPr>
        <w:spacing w:after="0" w:line="240" w:lineRule="auto"/>
      </w:pPr>
    </w:p>
    <w:p w:rsidR="00C812FC" w:rsidRDefault="00C812FC" w:rsidP="00C23BD9">
      <w:pPr>
        <w:spacing w:after="0" w:line="240" w:lineRule="auto"/>
      </w:pPr>
    </w:p>
    <w:p w:rsidR="00C812FC" w:rsidRDefault="00C812FC" w:rsidP="00C23BD9">
      <w:pPr>
        <w:spacing w:after="0" w:line="240" w:lineRule="auto"/>
      </w:pPr>
    </w:p>
    <w:p w:rsidR="00A522D9" w:rsidRDefault="00A522D9" w:rsidP="00C23BD9">
      <w:pPr>
        <w:spacing w:after="0" w:line="240" w:lineRule="auto"/>
      </w:pPr>
    </w:p>
    <w:p w:rsidR="00C23BD9" w:rsidRPr="001C0760" w:rsidRDefault="00C23BD9" w:rsidP="00C23BD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C0760"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7B12A" wp14:editId="1E945746">
                <wp:simplePos x="0" y="0"/>
                <wp:positionH relativeFrom="column">
                  <wp:posOffset>3150727</wp:posOffset>
                </wp:positionH>
                <wp:positionV relativeFrom="paragraph">
                  <wp:posOffset>-416399</wp:posOffset>
                </wp:positionV>
                <wp:extent cx="2285884" cy="354169"/>
                <wp:effectExtent l="0" t="0" r="19685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884" cy="354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48B" w:rsidRDefault="00AC648B" w:rsidP="00C23BD9">
                            <w:r w:rsidRPr="001C07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Publicado no Diário Oficial do Estado do RJ em 14 de junho de 2013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8.1pt;margin-top:-32.8pt;width:180pt;height:2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">
                <v:textbox>
                  <w:txbxContent>
                    <w:p w:rsidR="00AC648B" w:rsidRDefault="00AC648B" w:rsidP="00C23BD9">
                      <w:r w:rsidRPr="001C0760">
                        <w:rPr>
                          <w:rFonts w:ascii="Arial" w:hAnsi="Arial" w:cs="Arial"/>
                          <w:sz w:val="16"/>
                          <w:szCs w:val="16"/>
                        </w:rPr>
                        <w:t>Publicado no Diário Oficial do Estado do RJ em 14 de junho de 2013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>.</w:t>
      </w:r>
    </w:p>
    <w:p w:rsidR="00C23BD9" w:rsidRDefault="00C23BD9" w:rsidP="00C23BD9">
      <w:pPr>
        <w:spacing w:after="0" w:line="240" w:lineRule="auto"/>
      </w:pP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>SECRETARIA DE ESTADO DE CIÊNCIA E TECNOLOGIA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>UNIVERSIDADE ESTADUAL DO NORTE FLUMINENSE</w:t>
      </w:r>
      <w:r w:rsidR="00051C7A"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 </w:t>
      </w: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>DARCY RIBEIRO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>COLEGIADO EXECUTIVO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>ATO DO REITOR</w:t>
      </w:r>
    </w:p>
    <w:p w:rsidR="00C23BD9" w:rsidRDefault="00C23BD9" w:rsidP="00016AB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>ATO EXECUTIVO Nº 01 DE 28 DE MAIO DE 2013</w:t>
      </w:r>
    </w:p>
    <w:p w:rsidR="00016AB1" w:rsidRDefault="00016AB1" w:rsidP="00016AB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C23BD9" w:rsidRDefault="00C23BD9" w:rsidP="00016AB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>DISPÕE SOBRE A EXIGÊNCIA DE EMISSÃO</w:t>
      </w:r>
      <w:r w:rsidR="00016AB1"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 </w:t>
      </w: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>DE DOCUMENTO DE NADA CONSTA DA GERÊNCIA</w:t>
      </w:r>
      <w:r w:rsidR="00016AB1"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 </w:t>
      </w: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>DE PATRIMÔNIO DA UNIVERSIDADE</w:t>
      </w:r>
      <w:r w:rsidR="00016AB1"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 </w:t>
      </w: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>ESTADUAL DO NORTE FLUMINENSE DARCY</w:t>
      </w:r>
      <w:r w:rsidR="00016AB1"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 </w:t>
      </w: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>RIBEIRO, E DÁ OUTRAS PROVIDÊNCIAS.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051C7A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>O COLEGIADO EXECUTIVO (COLEX) DA UNIVERSIDADE ESTADUALDO NORTE FLUMINENSE DARCY RIBEIRO (UENF),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proofErr w:type="gramStart"/>
      <w:r>
        <w:rPr>
          <w:rFonts w:ascii="ArialMT" w:hAnsi="ArialMT" w:cs="ArialMT"/>
          <w:color w:val="231F20"/>
          <w:sz w:val="14"/>
          <w:szCs w:val="14"/>
        </w:rPr>
        <w:t>no</w:t>
      </w:r>
      <w:proofErr w:type="gramEnd"/>
      <w:r>
        <w:rPr>
          <w:rFonts w:ascii="ArialMT" w:hAnsi="ArialMT" w:cs="ArialMT"/>
          <w:color w:val="231F20"/>
          <w:sz w:val="14"/>
          <w:szCs w:val="14"/>
        </w:rPr>
        <w:t xml:space="preserve"> uso</w:t>
      </w:r>
      <w:r w:rsidR="00016AB1">
        <w:rPr>
          <w:rFonts w:ascii="ArialMT" w:hAnsi="ArialMT" w:cs="ArialMT"/>
          <w:color w:val="231F20"/>
          <w:sz w:val="14"/>
          <w:szCs w:val="14"/>
        </w:rPr>
        <w:t xml:space="preserve"> </w:t>
      </w:r>
      <w:r>
        <w:rPr>
          <w:rFonts w:ascii="ArialMT" w:hAnsi="ArialMT" w:cs="ArialMT"/>
          <w:color w:val="231F20"/>
          <w:sz w:val="14"/>
          <w:szCs w:val="14"/>
        </w:rPr>
        <w:t>de suas atribuições legais e estatutárias e de acordo com o aprovado</w:t>
      </w:r>
      <w:r w:rsidR="00016AB1">
        <w:rPr>
          <w:rFonts w:ascii="ArialMT" w:hAnsi="ArialMT" w:cs="ArialMT"/>
          <w:color w:val="231F20"/>
          <w:sz w:val="14"/>
          <w:szCs w:val="14"/>
        </w:rPr>
        <w:t xml:space="preserve"> </w:t>
      </w:r>
      <w:r>
        <w:rPr>
          <w:rFonts w:ascii="ArialMT" w:hAnsi="ArialMT" w:cs="ArialMT"/>
          <w:color w:val="231F20"/>
          <w:sz w:val="14"/>
          <w:szCs w:val="14"/>
        </w:rPr>
        <w:t>em sua reunião de 30 de abril de 2013, e o que consta no Processo</w:t>
      </w:r>
      <w:r w:rsidR="00016AB1">
        <w:rPr>
          <w:rFonts w:ascii="ArialMT" w:hAnsi="ArialMT" w:cs="ArialMT"/>
          <w:color w:val="231F20"/>
          <w:sz w:val="14"/>
          <w:szCs w:val="14"/>
        </w:rPr>
        <w:t xml:space="preserve"> </w:t>
      </w:r>
      <w:r>
        <w:rPr>
          <w:rFonts w:ascii="ArialMT" w:hAnsi="ArialMT" w:cs="ArialMT"/>
          <w:color w:val="231F20"/>
          <w:sz w:val="14"/>
          <w:szCs w:val="14"/>
        </w:rPr>
        <w:t>nº E-26/009/572/2013,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>RESOLVE: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 w:val="14"/>
          <w:szCs w:val="14"/>
        </w:rPr>
      </w:pP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Art. 1º </w:t>
      </w:r>
      <w:r>
        <w:rPr>
          <w:rFonts w:ascii="ArialMT" w:hAnsi="ArialMT" w:cs="ArialMT"/>
          <w:color w:val="231F20"/>
          <w:sz w:val="14"/>
          <w:szCs w:val="14"/>
        </w:rPr>
        <w:t>- Estabelecer procedimentos para a emissão de documento de nada consta da Gerência de Patrimônio (GPAT) da Universidade Estadual do Norte Fluminense Darcy Ribeiro.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Art. 2º </w:t>
      </w:r>
      <w:r>
        <w:rPr>
          <w:rFonts w:ascii="ArialMT" w:hAnsi="ArialMT" w:cs="ArialMT"/>
          <w:color w:val="231F20"/>
          <w:sz w:val="14"/>
          <w:szCs w:val="14"/>
        </w:rPr>
        <w:t>- O servidor deverá solicitar o documento de nada consta à Gerência de Patrimônio da UENF, para os seguintes casos de afastamento temporário ou definitivo: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I- </w:t>
      </w:r>
      <w:r>
        <w:rPr>
          <w:rFonts w:ascii="ArialMT" w:hAnsi="ArialMT" w:cs="ArialMT"/>
          <w:color w:val="231F20"/>
          <w:sz w:val="14"/>
          <w:szCs w:val="14"/>
        </w:rPr>
        <w:t>Aposentadoria;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II- </w:t>
      </w:r>
      <w:r>
        <w:rPr>
          <w:rFonts w:ascii="ArialMT" w:hAnsi="ArialMT" w:cs="ArialMT"/>
          <w:color w:val="231F20"/>
          <w:sz w:val="14"/>
          <w:szCs w:val="14"/>
        </w:rPr>
        <w:t>Exoneração a pedido;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III- </w:t>
      </w:r>
      <w:r>
        <w:rPr>
          <w:rFonts w:ascii="ArialMT" w:hAnsi="ArialMT" w:cs="ArialMT"/>
          <w:color w:val="231F20"/>
          <w:sz w:val="14"/>
          <w:szCs w:val="14"/>
        </w:rPr>
        <w:t xml:space="preserve">Licenças superiores </w:t>
      </w:r>
      <w:proofErr w:type="gramStart"/>
      <w:r>
        <w:rPr>
          <w:rFonts w:ascii="ArialMT" w:hAnsi="ArialMT" w:cs="ArialMT"/>
          <w:color w:val="231F20"/>
          <w:sz w:val="14"/>
          <w:szCs w:val="14"/>
        </w:rPr>
        <w:t>a</w:t>
      </w:r>
      <w:proofErr w:type="gramEnd"/>
      <w:r>
        <w:rPr>
          <w:rFonts w:ascii="ArialMT" w:hAnsi="ArialMT" w:cs="ArialMT"/>
          <w:color w:val="231F20"/>
          <w:sz w:val="14"/>
          <w:szCs w:val="14"/>
        </w:rPr>
        <w:t xml:space="preserve"> 30 dias, exceto licenças médicas;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IV- </w:t>
      </w:r>
      <w:r>
        <w:rPr>
          <w:rFonts w:ascii="ArialMT" w:hAnsi="ArialMT" w:cs="ArialMT"/>
          <w:color w:val="231F20"/>
          <w:sz w:val="14"/>
          <w:szCs w:val="14"/>
        </w:rPr>
        <w:t>Transferência para outro Centro ou Laboratório;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V- </w:t>
      </w:r>
      <w:r>
        <w:rPr>
          <w:rFonts w:ascii="ArialMT" w:hAnsi="ArialMT" w:cs="ArialMT"/>
          <w:color w:val="231F20"/>
          <w:sz w:val="14"/>
          <w:szCs w:val="14"/>
        </w:rPr>
        <w:t>Candidatura a cargo eletivo;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VI- </w:t>
      </w:r>
      <w:r>
        <w:rPr>
          <w:rFonts w:ascii="ArialMT" w:hAnsi="ArialMT" w:cs="ArialMT"/>
          <w:color w:val="231F20"/>
          <w:sz w:val="14"/>
          <w:szCs w:val="14"/>
        </w:rPr>
        <w:t>Afastamento para o exterior superior a 30 dias;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VII- </w:t>
      </w:r>
      <w:r>
        <w:rPr>
          <w:rFonts w:ascii="ArialMT" w:hAnsi="ArialMT" w:cs="ArialMT"/>
          <w:color w:val="231F20"/>
          <w:sz w:val="14"/>
          <w:szCs w:val="14"/>
        </w:rPr>
        <w:t>Afastamento para pós-doutoramento ou estágio sênior;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VIII- </w:t>
      </w:r>
      <w:r>
        <w:rPr>
          <w:rFonts w:ascii="ArialMT" w:hAnsi="ArialMT" w:cs="ArialMT"/>
          <w:color w:val="231F20"/>
          <w:sz w:val="14"/>
          <w:szCs w:val="14"/>
        </w:rPr>
        <w:t>Cessão para outro órgão.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Parágrafo Único </w:t>
      </w:r>
      <w:r>
        <w:rPr>
          <w:rFonts w:ascii="ArialMT" w:hAnsi="ArialMT" w:cs="ArialMT"/>
          <w:color w:val="231F20"/>
          <w:sz w:val="14"/>
          <w:szCs w:val="14"/>
        </w:rPr>
        <w:t xml:space="preserve">- O processo administrativo de solicitação de afastamento, nos casos previstos neste artigo, deverá ser instruído com o documento de declaração de nada consta emitido pela GPAT, </w:t>
      </w:r>
      <w:proofErr w:type="spellStart"/>
      <w:r>
        <w:rPr>
          <w:rFonts w:ascii="ArialMT" w:hAnsi="ArialMT" w:cs="ArialMT"/>
          <w:color w:val="231F20"/>
          <w:sz w:val="14"/>
          <w:szCs w:val="14"/>
        </w:rPr>
        <w:t>antesde</w:t>
      </w:r>
      <w:proofErr w:type="spellEnd"/>
      <w:r>
        <w:rPr>
          <w:rFonts w:ascii="ArialMT" w:hAnsi="ArialMT" w:cs="ArialMT"/>
          <w:color w:val="231F20"/>
          <w:sz w:val="14"/>
          <w:szCs w:val="14"/>
        </w:rPr>
        <w:t xml:space="preserve"> sua concessão.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Art. 3º </w:t>
      </w:r>
      <w:r>
        <w:rPr>
          <w:rFonts w:ascii="ArialMT" w:hAnsi="ArialMT" w:cs="ArialMT"/>
          <w:color w:val="231F20"/>
          <w:sz w:val="14"/>
          <w:szCs w:val="14"/>
        </w:rPr>
        <w:t xml:space="preserve">- A contratação de </w:t>
      </w:r>
      <w:proofErr w:type="spellStart"/>
      <w:r>
        <w:rPr>
          <w:rFonts w:ascii="ArialMT" w:hAnsi="ArialMT" w:cs="ArialMT"/>
          <w:color w:val="231F20"/>
          <w:sz w:val="14"/>
          <w:szCs w:val="14"/>
        </w:rPr>
        <w:t>ex-servidores</w:t>
      </w:r>
      <w:proofErr w:type="spellEnd"/>
      <w:r>
        <w:rPr>
          <w:rFonts w:ascii="ArialMT" w:hAnsi="ArialMT" w:cs="ArialMT"/>
          <w:color w:val="231F20"/>
          <w:sz w:val="14"/>
          <w:szCs w:val="14"/>
        </w:rPr>
        <w:t xml:space="preserve"> da Universidade a título de professor visitante ou por meio de cargo em comissão ou outro tipo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proofErr w:type="gramStart"/>
      <w:r>
        <w:rPr>
          <w:rFonts w:ascii="ArialMT" w:hAnsi="ArialMT" w:cs="ArialMT"/>
          <w:color w:val="231F20"/>
          <w:sz w:val="14"/>
          <w:szCs w:val="14"/>
        </w:rPr>
        <w:t>de</w:t>
      </w:r>
      <w:proofErr w:type="gramEnd"/>
      <w:r>
        <w:rPr>
          <w:rFonts w:ascii="ArialMT" w:hAnsi="ArialMT" w:cs="ArialMT"/>
          <w:color w:val="231F20"/>
          <w:sz w:val="14"/>
          <w:szCs w:val="14"/>
        </w:rPr>
        <w:t xml:space="preserve"> vínculo ficará condicionada a emissão do documento de nada consta pela GPAT.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Art. 4º </w:t>
      </w:r>
      <w:r>
        <w:rPr>
          <w:rFonts w:ascii="ArialMT" w:hAnsi="ArialMT" w:cs="ArialMT"/>
          <w:color w:val="231F20"/>
          <w:sz w:val="14"/>
          <w:szCs w:val="14"/>
        </w:rPr>
        <w:t>- O servidor deverá solicitar o documento de nada consta, por meio de preenchimento do formulário anexo, à Gerência de Patrimônio da UENF, com antecedência mínima de 30 dias do afastamento ou contratação.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Art. 5º </w:t>
      </w:r>
      <w:r>
        <w:rPr>
          <w:rFonts w:ascii="ArialMT" w:hAnsi="ArialMT" w:cs="ArialMT"/>
          <w:color w:val="231F20"/>
          <w:sz w:val="14"/>
          <w:szCs w:val="14"/>
        </w:rPr>
        <w:t>- Os casos omissos serão decididos pelo Colegiado Executivo da UENF.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 xml:space="preserve">Art. 6º </w:t>
      </w:r>
      <w:r>
        <w:rPr>
          <w:rFonts w:ascii="ArialMT" w:hAnsi="ArialMT" w:cs="ArialMT"/>
          <w:color w:val="231F20"/>
          <w:sz w:val="14"/>
          <w:szCs w:val="14"/>
        </w:rPr>
        <w:t>- Este ato executivo entrará em vigor na data de sua publicação.</w:t>
      </w: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MT" w:hAnsi="ArialMT" w:cs="ArialMT"/>
          <w:color w:val="231F20"/>
          <w:sz w:val="14"/>
          <w:szCs w:val="14"/>
        </w:rPr>
        <w:t xml:space="preserve">Campos dos Goytacazes, 28 de maio de </w:t>
      </w:r>
      <w:proofErr w:type="gramStart"/>
      <w:r>
        <w:rPr>
          <w:rFonts w:ascii="ArialMT" w:hAnsi="ArialMT" w:cs="ArialMT"/>
          <w:color w:val="231F20"/>
          <w:sz w:val="14"/>
          <w:szCs w:val="14"/>
        </w:rPr>
        <w:t>2013</w:t>
      </w:r>
      <w:proofErr w:type="gramEnd"/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</w:p>
    <w:p w:rsidR="00C23BD9" w:rsidRDefault="00C23BD9" w:rsidP="00C23BD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 w:val="14"/>
          <w:szCs w:val="14"/>
        </w:rPr>
      </w:pPr>
      <w:r>
        <w:rPr>
          <w:rFonts w:ascii="Arial-BoldMT" w:hAnsi="Arial-BoldMT" w:cs="Arial-BoldMT"/>
          <w:b/>
          <w:bCs/>
          <w:color w:val="231F20"/>
          <w:sz w:val="14"/>
          <w:szCs w:val="14"/>
        </w:rPr>
        <w:t>SILVÉRIO DE PAIVA FREITAS</w:t>
      </w:r>
    </w:p>
    <w:p w:rsidR="00C23BD9" w:rsidRDefault="00C23BD9" w:rsidP="00C23BD9">
      <w:pPr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  <w:r>
        <w:rPr>
          <w:rFonts w:ascii="ArialMT" w:hAnsi="ArialMT" w:cs="ArialMT"/>
          <w:color w:val="231F20"/>
          <w:sz w:val="14"/>
          <w:szCs w:val="14"/>
        </w:rPr>
        <w:t>Reitor</w:t>
      </w:r>
    </w:p>
    <w:p w:rsidR="00051C7A" w:rsidRDefault="00051C7A" w:rsidP="00C23BD9">
      <w:pPr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</w:p>
    <w:p w:rsidR="00051C7A" w:rsidRDefault="00051C7A" w:rsidP="00C23BD9">
      <w:pPr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</w:p>
    <w:p w:rsidR="00C23BD9" w:rsidRDefault="00C23BD9" w:rsidP="00C23BD9">
      <w:pPr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</w:p>
    <w:p w:rsidR="00497A46" w:rsidRDefault="00497A46" w:rsidP="00C23BD9">
      <w:pPr>
        <w:spacing w:after="0" w:line="240" w:lineRule="auto"/>
        <w:rPr>
          <w:rFonts w:ascii="ArialMT" w:hAnsi="ArialMT" w:cs="ArialMT"/>
          <w:color w:val="231F20"/>
          <w:sz w:val="14"/>
          <w:szCs w:val="14"/>
        </w:rPr>
      </w:pPr>
    </w:p>
    <w:p w:rsidR="00C23BD9" w:rsidRDefault="00C23BD9" w:rsidP="00C23BD9">
      <w:pPr>
        <w:spacing w:after="0" w:line="240" w:lineRule="auto"/>
      </w:pPr>
      <w:r>
        <w:rPr>
          <w:noProof/>
          <w:lang w:eastAsia="pt-BR"/>
        </w:rPr>
        <w:lastRenderedPageBreak/>
        <w:drawing>
          <wp:inline distT="0" distB="0" distL="0" distR="0" wp14:anchorId="3BE4E90E" wp14:editId="57CD82A5">
            <wp:extent cx="5400040" cy="5191507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9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D9" w:rsidRDefault="00C23BD9" w:rsidP="00C23BD9">
      <w:pPr>
        <w:spacing w:after="0" w:line="240" w:lineRule="auto"/>
      </w:pPr>
    </w:p>
    <w:p w:rsidR="00C23BD9" w:rsidRDefault="00C23BD9" w:rsidP="00C23BD9">
      <w:pPr>
        <w:spacing w:after="0" w:line="240" w:lineRule="auto"/>
      </w:pPr>
    </w:p>
    <w:p w:rsidR="00B30BAE" w:rsidRDefault="00B30BAE" w:rsidP="0078132C">
      <w:pPr>
        <w:spacing w:before="100" w:beforeAutospacing="1" w:after="100" w:afterAutospacing="1" w:line="360" w:lineRule="auto"/>
        <w:jc w:val="both"/>
        <w:rPr>
          <w:rFonts w:ascii="Showcard Gothic" w:eastAsia="Times New Roman" w:hAnsi="Showcard Gothic" w:cs="Times New Roman"/>
          <w:sz w:val="26"/>
          <w:szCs w:val="26"/>
          <w:lang w:eastAsia="pt-BR"/>
        </w:rPr>
      </w:pPr>
    </w:p>
    <w:p w:rsidR="00051C7A" w:rsidRDefault="00B30BAE" w:rsidP="00141F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Showcard Gothic" w:eastAsia="Times New Roman" w:hAnsi="Showcard Gothic" w:cs="Times New Roman"/>
          <w:sz w:val="26"/>
          <w:szCs w:val="26"/>
          <w:lang w:eastAsia="pt-BR"/>
        </w:rPr>
        <w:t xml:space="preserve"> </w:t>
      </w:r>
    </w:p>
    <w:p w:rsidR="00051C7A" w:rsidRDefault="00051C7A" w:rsidP="00140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73655" w:rsidRDefault="00073655" w:rsidP="00140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73655" w:rsidRDefault="00073655" w:rsidP="00140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sectPr w:rsidR="00073655" w:rsidSect="00006FB5">
      <w:pgSz w:w="11906" w:h="16838"/>
      <w:pgMar w:top="1418" w:right="1701" w:bottom="1191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8B" w:rsidRDefault="00AC648B" w:rsidP="00A95D39">
      <w:pPr>
        <w:spacing w:after="0" w:line="240" w:lineRule="auto"/>
      </w:pPr>
      <w:r>
        <w:separator/>
      </w:r>
    </w:p>
  </w:endnote>
  <w:endnote w:type="continuationSeparator" w:id="0">
    <w:p w:rsidR="00AC648B" w:rsidRDefault="00AC648B" w:rsidP="00A9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et Benson 2">
    <w:panose1 w:val="02000503000000020004"/>
    <w:charset w:val="00"/>
    <w:family w:val="auto"/>
    <w:pitch w:val="variable"/>
    <w:sig w:usb0="80000027" w:usb1="0000000A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een Light">
    <w:panose1 w:val="02000400000000000000"/>
    <w:charset w:val="00"/>
    <w:family w:val="auto"/>
    <w:pitch w:val="variable"/>
    <w:sig w:usb0="A000002F" w:usb1="0000000A" w:usb2="00000000" w:usb3="00000000" w:csb0="0000019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8B" w:rsidRDefault="00AC648B" w:rsidP="00A95D39">
      <w:pPr>
        <w:spacing w:after="0" w:line="240" w:lineRule="auto"/>
      </w:pPr>
      <w:r>
        <w:separator/>
      </w:r>
    </w:p>
  </w:footnote>
  <w:footnote w:type="continuationSeparator" w:id="0">
    <w:p w:rsidR="00AC648B" w:rsidRDefault="00AC648B" w:rsidP="00A9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CDF"/>
    <w:multiLevelType w:val="hybridMultilevel"/>
    <w:tmpl w:val="61600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2014B"/>
    <w:multiLevelType w:val="hybridMultilevel"/>
    <w:tmpl w:val="8D964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B4027"/>
    <w:multiLevelType w:val="hybridMultilevel"/>
    <w:tmpl w:val="6E6A4AA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933BF7"/>
    <w:multiLevelType w:val="hybridMultilevel"/>
    <w:tmpl w:val="7E0E7F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52467"/>
    <w:multiLevelType w:val="hybridMultilevel"/>
    <w:tmpl w:val="5F2A21A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BCA78F8"/>
    <w:multiLevelType w:val="hybridMultilevel"/>
    <w:tmpl w:val="E8269B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2D36235"/>
    <w:multiLevelType w:val="hybridMultilevel"/>
    <w:tmpl w:val="E7D09EB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B2"/>
    <w:rsid w:val="00006FB5"/>
    <w:rsid w:val="00007801"/>
    <w:rsid w:val="00016AB1"/>
    <w:rsid w:val="00051C7A"/>
    <w:rsid w:val="000529BC"/>
    <w:rsid w:val="00073655"/>
    <w:rsid w:val="00074800"/>
    <w:rsid w:val="00083DA2"/>
    <w:rsid w:val="000960C6"/>
    <w:rsid w:val="000D1BC3"/>
    <w:rsid w:val="000D43F8"/>
    <w:rsid w:val="000D6CEA"/>
    <w:rsid w:val="000E3632"/>
    <w:rsid w:val="000E430B"/>
    <w:rsid w:val="001005A5"/>
    <w:rsid w:val="001222A7"/>
    <w:rsid w:val="001231B1"/>
    <w:rsid w:val="0013367F"/>
    <w:rsid w:val="001401E2"/>
    <w:rsid w:val="00141F28"/>
    <w:rsid w:val="00145298"/>
    <w:rsid w:val="001A6C62"/>
    <w:rsid w:val="001B1E66"/>
    <w:rsid w:val="001B41E4"/>
    <w:rsid w:val="001C0760"/>
    <w:rsid w:val="001C0E24"/>
    <w:rsid w:val="001C7EFB"/>
    <w:rsid w:val="001D204C"/>
    <w:rsid w:val="001D3DF1"/>
    <w:rsid w:val="001F1D4C"/>
    <w:rsid w:val="001F3479"/>
    <w:rsid w:val="00207286"/>
    <w:rsid w:val="002832D1"/>
    <w:rsid w:val="002952BB"/>
    <w:rsid w:val="002C30FE"/>
    <w:rsid w:val="002C7DAF"/>
    <w:rsid w:val="002D6092"/>
    <w:rsid w:val="002D655A"/>
    <w:rsid w:val="002E72F7"/>
    <w:rsid w:val="003240FE"/>
    <w:rsid w:val="0035752A"/>
    <w:rsid w:val="003759EA"/>
    <w:rsid w:val="003770A3"/>
    <w:rsid w:val="003814ED"/>
    <w:rsid w:val="003940EE"/>
    <w:rsid w:val="003A10AB"/>
    <w:rsid w:val="003A1A09"/>
    <w:rsid w:val="003A6C0E"/>
    <w:rsid w:val="003B4F8E"/>
    <w:rsid w:val="003C3DB8"/>
    <w:rsid w:val="003D6C39"/>
    <w:rsid w:val="003F1037"/>
    <w:rsid w:val="004068FB"/>
    <w:rsid w:val="00411339"/>
    <w:rsid w:val="00422FC0"/>
    <w:rsid w:val="0043449B"/>
    <w:rsid w:val="0044393B"/>
    <w:rsid w:val="00444A48"/>
    <w:rsid w:val="00457EEF"/>
    <w:rsid w:val="00471CAA"/>
    <w:rsid w:val="00492EF2"/>
    <w:rsid w:val="00497A46"/>
    <w:rsid w:val="004C0E01"/>
    <w:rsid w:val="004D428C"/>
    <w:rsid w:val="004E5F7D"/>
    <w:rsid w:val="00504E47"/>
    <w:rsid w:val="005146FF"/>
    <w:rsid w:val="00575C8F"/>
    <w:rsid w:val="00596F4C"/>
    <w:rsid w:val="005A1CDE"/>
    <w:rsid w:val="005A3FDC"/>
    <w:rsid w:val="005A686F"/>
    <w:rsid w:val="005B1E0A"/>
    <w:rsid w:val="005B59C6"/>
    <w:rsid w:val="005E24E0"/>
    <w:rsid w:val="005F10AB"/>
    <w:rsid w:val="005F42E6"/>
    <w:rsid w:val="006125CB"/>
    <w:rsid w:val="006157EE"/>
    <w:rsid w:val="00670F63"/>
    <w:rsid w:val="0067367A"/>
    <w:rsid w:val="0069469D"/>
    <w:rsid w:val="006B55EA"/>
    <w:rsid w:val="006C1FF1"/>
    <w:rsid w:val="006F22CA"/>
    <w:rsid w:val="00700102"/>
    <w:rsid w:val="0070348C"/>
    <w:rsid w:val="007231FD"/>
    <w:rsid w:val="00736E21"/>
    <w:rsid w:val="00751C56"/>
    <w:rsid w:val="00751F96"/>
    <w:rsid w:val="00755756"/>
    <w:rsid w:val="007724D7"/>
    <w:rsid w:val="0078132C"/>
    <w:rsid w:val="0079148B"/>
    <w:rsid w:val="00794669"/>
    <w:rsid w:val="007A1918"/>
    <w:rsid w:val="007B4AC8"/>
    <w:rsid w:val="007B681E"/>
    <w:rsid w:val="007B6B75"/>
    <w:rsid w:val="007D04D2"/>
    <w:rsid w:val="007E7BA2"/>
    <w:rsid w:val="007F1C22"/>
    <w:rsid w:val="00807929"/>
    <w:rsid w:val="008100B1"/>
    <w:rsid w:val="008176FF"/>
    <w:rsid w:val="00823A51"/>
    <w:rsid w:val="0083430D"/>
    <w:rsid w:val="00836EEF"/>
    <w:rsid w:val="00867579"/>
    <w:rsid w:val="0088154A"/>
    <w:rsid w:val="00885502"/>
    <w:rsid w:val="00886675"/>
    <w:rsid w:val="00890A53"/>
    <w:rsid w:val="008C4554"/>
    <w:rsid w:val="008C53AB"/>
    <w:rsid w:val="008F7138"/>
    <w:rsid w:val="00926A14"/>
    <w:rsid w:val="009304D5"/>
    <w:rsid w:val="009434D6"/>
    <w:rsid w:val="009738D6"/>
    <w:rsid w:val="00990E91"/>
    <w:rsid w:val="009C03D1"/>
    <w:rsid w:val="00A02A5B"/>
    <w:rsid w:val="00A02D3D"/>
    <w:rsid w:val="00A063C5"/>
    <w:rsid w:val="00A17747"/>
    <w:rsid w:val="00A3615B"/>
    <w:rsid w:val="00A421BD"/>
    <w:rsid w:val="00A522D9"/>
    <w:rsid w:val="00A53C0E"/>
    <w:rsid w:val="00A64420"/>
    <w:rsid w:val="00A824CB"/>
    <w:rsid w:val="00A866E5"/>
    <w:rsid w:val="00A95D39"/>
    <w:rsid w:val="00AA4EE9"/>
    <w:rsid w:val="00AA7055"/>
    <w:rsid w:val="00AB19FB"/>
    <w:rsid w:val="00AC648B"/>
    <w:rsid w:val="00AD2D35"/>
    <w:rsid w:val="00B0333A"/>
    <w:rsid w:val="00B16855"/>
    <w:rsid w:val="00B232DF"/>
    <w:rsid w:val="00B30BAE"/>
    <w:rsid w:val="00B91CD3"/>
    <w:rsid w:val="00BC4CC4"/>
    <w:rsid w:val="00BD1506"/>
    <w:rsid w:val="00BD1683"/>
    <w:rsid w:val="00BD2BB3"/>
    <w:rsid w:val="00C117DC"/>
    <w:rsid w:val="00C216D9"/>
    <w:rsid w:val="00C23BD9"/>
    <w:rsid w:val="00C40DF9"/>
    <w:rsid w:val="00C57A25"/>
    <w:rsid w:val="00C6425B"/>
    <w:rsid w:val="00C67ADC"/>
    <w:rsid w:val="00C71970"/>
    <w:rsid w:val="00C812FC"/>
    <w:rsid w:val="00C8250E"/>
    <w:rsid w:val="00C97CA6"/>
    <w:rsid w:val="00CA42B0"/>
    <w:rsid w:val="00CC7BD7"/>
    <w:rsid w:val="00CD6F7E"/>
    <w:rsid w:val="00CE5957"/>
    <w:rsid w:val="00D2232A"/>
    <w:rsid w:val="00D355BA"/>
    <w:rsid w:val="00D704D0"/>
    <w:rsid w:val="00D75A1B"/>
    <w:rsid w:val="00DB6657"/>
    <w:rsid w:val="00DD779D"/>
    <w:rsid w:val="00DE6044"/>
    <w:rsid w:val="00DF1364"/>
    <w:rsid w:val="00E171B2"/>
    <w:rsid w:val="00E32030"/>
    <w:rsid w:val="00E32613"/>
    <w:rsid w:val="00E43BBE"/>
    <w:rsid w:val="00E512A0"/>
    <w:rsid w:val="00E54B07"/>
    <w:rsid w:val="00E63599"/>
    <w:rsid w:val="00E946D2"/>
    <w:rsid w:val="00EC038E"/>
    <w:rsid w:val="00EC6AE8"/>
    <w:rsid w:val="00ED5955"/>
    <w:rsid w:val="00EE1C04"/>
    <w:rsid w:val="00EF5297"/>
    <w:rsid w:val="00F35C01"/>
    <w:rsid w:val="00F36D4E"/>
    <w:rsid w:val="00F46E32"/>
    <w:rsid w:val="00F74041"/>
    <w:rsid w:val="00F83139"/>
    <w:rsid w:val="00FA5489"/>
    <w:rsid w:val="00FB0270"/>
    <w:rsid w:val="00FB6514"/>
    <w:rsid w:val="00FF01F7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F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0D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95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D39"/>
  </w:style>
  <w:style w:type="paragraph" w:styleId="Rodap">
    <w:name w:val="footer"/>
    <w:basedOn w:val="Normal"/>
    <w:link w:val="RodapChar"/>
    <w:uiPriority w:val="99"/>
    <w:unhideWhenUsed/>
    <w:rsid w:val="00A95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D39"/>
  </w:style>
  <w:style w:type="paragraph" w:styleId="NormalWeb">
    <w:name w:val="Normal (Web)"/>
    <w:basedOn w:val="Normal"/>
    <w:uiPriority w:val="99"/>
    <w:unhideWhenUsed/>
    <w:rsid w:val="000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7480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748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748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F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0D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95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D39"/>
  </w:style>
  <w:style w:type="paragraph" w:styleId="Rodap">
    <w:name w:val="footer"/>
    <w:basedOn w:val="Normal"/>
    <w:link w:val="RodapChar"/>
    <w:uiPriority w:val="99"/>
    <w:unhideWhenUsed/>
    <w:rsid w:val="00A95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D39"/>
  </w:style>
  <w:style w:type="paragraph" w:styleId="NormalWeb">
    <w:name w:val="Normal (Web)"/>
    <w:basedOn w:val="Normal"/>
    <w:uiPriority w:val="99"/>
    <w:unhideWhenUsed/>
    <w:rsid w:val="000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7480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748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74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age.fazenda.rj.gov.br/age/faces/owResource.jspx?z=oracle.webcenter.doclib%21%21UCMServer%2523dDocName%253AWCC205826%21%21Anexo%2BVI%2B-%2BIN41_BMoveis_Nada_Consta.doc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BD29-5E6C-4F80-8010-CDADFFEC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1939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</dc:creator>
  <cp:lastModifiedBy>DGA</cp:lastModifiedBy>
  <cp:revision>8</cp:revision>
  <cp:lastPrinted>2018-06-20T16:52:00Z</cp:lastPrinted>
  <dcterms:created xsi:type="dcterms:W3CDTF">2018-08-07T19:23:00Z</dcterms:created>
  <dcterms:modified xsi:type="dcterms:W3CDTF">2018-10-25T17:57:00Z</dcterms:modified>
</cp:coreProperties>
</file>