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D0" w:rsidRDefault="0006418A" w:rsidP="0006418A">
      <w:pPr>
        <w:jc w:val="center"/>
        <w:rPr>
          <w:rFonts w:ascii="Roboto" w:eastAsia="Roboto" w:hAnsi="Roboto" w:cs="Roboto"/>
          <w:b/>
          <w:color w:val="404040"/>
          <w:sz w:val="24"/>
          <w:szCs w:val="24"/>
        </w:rPr>
      </w:pPr>
      <w:bookmarkStart w:id="0" w:name="_GoBack"/>
      <w:bookmarkEnd w:id="0"/>
      <w:r>
        <w:rPr>
          <w:rFonts w:ascii="Roboto" w:eastAsia="Roboto" w:hAnsi="Roboto" w:cs="Roboto"/>
          <w:b/>
          <w:color w:val="404040"/>
          <w:sz w:val="24"/>
          <w:szCs w:val="24"/>
        </w:rPr>
        <w:t>PRÓ-REITORIA DE EXTENSÃO</w:t>
      </w:r>
      <w:r>
        <w:rPr>
          <w:rFonts w:ascii="Roboto" w:eastAsia="Roboto" w:hAnsi="Roboto" w:cs="Roboto"/>
          <w:b/>
          <w:color w:val="404040"/>
          <w:sz w:val="24"/>
          <w:szCs w:val="24"/>
        </w:rPr>
        <w:br/>
      </w:r>
    </w:p>
    <w:p w:rsidR="0006418A" w:rsidRDefault="0006418A" w:rsidP="0006418A">
      <w:pPr>
        <w:jc w:val="center"/>
        <w:rPr>
          <w:rFonts w:ascii="Roboto" w:eastAsia="Roboto" w:hAnsi="Roboto" w:cs="Roboto"/>
          <w:b/>
          <w:color w:val="404040"/>
          <w:sz w:val="24"/>
          <w:szCs w:val="24"/>
        </w:rPr>
      </w:pPr>
      <w:r>
        <w:rPr>
          <w:rFonts w:ascii="Roboto" w:eastAsia="Roboto" w:hAnsi="Roboto" w:cs="Roboto"/>
          <w:b/>
          <w:color w:val="404040"/>
          <w:sz w:val="24"/>
          <w:szCs w:val="24"/>
        </w:rPr>
        <w:t>EDITAL PROEX Nº 01/2025</w:t>
      </w:r>
      <w:r>
        <w:rPr>
          <w:rFonts w:ascii="Roboto" w:eastAsia="Roboto" w:hAnsi="Roboto" w:cs="Roboto"/>
          <w:b/>
          <w:color w:val="404040"/>
          <w:sz w:val="24"/>
          <w:szCs w:val="24"/>
        </w:rPr>
        <w:br/>
        <w:t>SELEÇÃO DE BOLSISTAS PARA INCLUSÃO DE PESSOAS COM TEA NO ESPAÇO DA CIÊNCIA DA UENF</w:t>
      </w:r>
    </w:p>
    <w:p w:rsidR="0006418A" w:rsidRDefault="0006418A" w:rsidP="0006418A">
      <w:pPr>
        <w:jc w:val="center"/>
        <w:rPr>
          <w:rFonts w:ascii="Roboto" w:eastAsia="Roboto" w:hAnsi="Roboto" w:cs="Roboto"/>
          <w:b/>
          <w:color w:val="404040"/>
          <w:sz w:val="24"/>
          <w:szCs w:val="24"/>
        </w:rPr>
      </w:pPr>
    </w:p>
    <w:p w:rsidR="0006418A" w:rsidRDefault="0006418A" w:rsidP="0006418A">
      <w:pPr>
        <w:jc w:val="center"/>
        <w:rPr>
          <w:rFonts w:ascii="Roboto" w:eastAsia="Roboto" w:hAnsi="Roboto" w:cs="Roboto"/>
          <w:b/>
          <w:color w:val="404040"/>
          <w:sz w:val="24"/>
          <w:szCs w:val="24"/>
        </w:rPr>
      </w:pPr>
      <w:r>
        <w:rPr>
          <w:rFonts w:ascii="Roboto" w:eastAsia="Roboto" w:hAnsi="Roboto" w:cs="Roboto"/>
          <w:b/>
          <w:color w:val="404040"/>
          <w:sz w:val="24"/>
          <w:szCs w:val="24"/>
        </w:rPr>
        <w:t xml:space="preserve">Formulário de </w:t>
      </w:r>
      <w:proofErr w:type="spellStart"/>
      <w:r>
        <w:rPr>
          <w:rFonts w:ascii="Roboto" w:eastAsia="Roboto" w:hAnsi="Roboto" w:cs="Roboto"/>
          <w:b/>
          <w:color w:val="404040"/>
          <w:sz w:val="24"/>
          <w:szCs w:val="24"/>
        </w:rPr>
        <w:t>Autoavaliação</w:t>
      </w:r>
      <w:proofErr w:type="spellEnd"/>
    </w:p>
    <w:p w:rsidR="0006418A" w:rsidRDefault="0006418A" w:rsidP="0006418A">
      <w:pPr>
        <w:pStyle w:val="Ttulo4"/>
        <w:keepNext w:val="0"/>
        <w:keepLines w:val="0"/>
        <w:spacing w:before="120"/>
        <w:ind w:left="425" w:hanging="357"/>
        <w:rPr>
          <w:rFonts w:ascii="Roboto" w:eastAsia="Roboto" w:hAnsi="Roboto" w:cs="Roboto"/>
          <w:color w:val="404040"/>
        </w:rPr>
      </w:pPr>
      <w:r>
        <w:rPr>
          <w:rFonts w:ascii="Roboto" w:eastAsia="Roboto" w:hAnsi="Roboto" w:cs="Roboto"/>
          <w:color w:val="404040"/>
        </w:rPr>
        <w:t>Nome do Candidato:</w:t>
      </w:r>
    </w:p>
    <w:p w:rsidR="0006418A" w:rsidRDefault="0006418A" w:rsidP="0006418A">
      <w:pPr>
        <w:pStyle w:val="Ttulo4"/>
        <w:keepNext w:val="0"/>
        <w:keepLines w:val="0"/>
        <w:spacing w:before="120"/>
        <w:ind w:left="425" w:hanging="357"/>
        <w:rPr>
          <w:rFonts w:ascii="Roboto" w:eastAsia="Roboto" w:hAnsi="Roboto" w:cs="Roboto"/>
          <w:color w:val="404040"/>
        </w:rPr>
      </w:pPr>
      <w:r>
        <w:rPr>
          <w:rFonts w:ascii="Roboto" w:eastAsia="Roboto" w:hAnsi="Roboto" w:cs="Roboto"/>
          <w:color w:val="404040"/>
        </w:rPr>
        <w:t>CPF:</w:t>
      </w:r>
    </w:p>
    <w:p w:rsidR="00AB36A5" w:rsidRDefault="00AB36A5" w:rsidP="00AB36A5">
      <w:pPr>
        <w:pStyle w:val="Ttulo4"/>
        <w:keepNext w:val="0"/>
        <w:keepLines w:val="0"/>
        <w:ind w:left="426" w:hanging="360"/>
        <w:rPr>
          <w:rFonts w:ascii="Roboto" w:eastAsia="Roboto" w:hAnsi="Roboto" w:cs="Roboto"/>
          <w:color w:val="404040"/>
        </w:rPr>
      </w:pPr>
      <w:r>
        <w:rPr>
          <w:rFonts w:ascii="Roboto" w:eastAsia="Roboto" w:hAnsi="Roboto" w:cs="Roboto"/>
          <w:color w:val="404040"/>
        </w:rPr>
        <w:t>6.1. Tabela de Pontuação Detalhada</w:t>
      </w:r>
      <w:r w:rsidR="006867D0">
        <w:rPr>
          <w:rFonts w:ascii="Roboto" w:eastAsia="Roboto" w:hAnsi="Roboto" w:cs="Roboto"/>
          <w:color w:val="404040"/>
        </w:rPr>
        <w:t xml:space="preserve"> (Item do Edital)</w:t>
      </w:r>
    </w:p>
    <w:tbl>
      <w:tblPr>
        <w:tblW w:w="89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20"/>
        <w:gridCol w:w="2693"/>
        <w:gridCol w:w="1134"/>
        <w:gridCol w:w="1418"/>
        <w:gridCol w:w="1276"/>
      </w:tblGrid>
      <w:tr w:rsidR="00AB36A5" w:rsidTr="00AB36A5">
        <w:trPr>
          <w:trHeight w:val="284"/>
        </w:trPr>
        <w:tc>
          <w:tcPr>
            <w:tcW w:w="2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0" w:type="dxa"/>
              <w:bottom w:w="100" w:type="dxa"/>
              <w:right w:w="100" w:type="dxa"/>
            </w:tcMar>
          </w:tcPr>
          <w:p w:rsidR="00AB36A5" w:rsidRDefault="00AB36A5" w:rsidP="00990A12">
            <w:pPr>
              <w:spacing w:before="60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Critério</w:t>
            </w:r>
          </w:p>
        </w:tc>
        <w:tc>
          <w:tcPr>
            <w:tcW w:w="269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6A5" w:rsidRDefault="00AB36A5" w:rsidP="00990A12">
            <w:pPr>
              <w:spacing w:before="60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Faixa de Pontuação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6A5" w:rsidRDefault="00AB36A5" w:rsidP="00990A12">
            <w:pPr>
              <w:spacing w:before="60"/>
              <w:ind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Pontuação Máxima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6A5" w:rsidRDefault="00AB36A5" w:rsidP="00990A12">
            <w:pPr>
              <w:spacing w:before="60"/>
              <w:ind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Autoavaliação</w:t>
            </w:r>
            <w:proofErr w:type="spellEnd"/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 xml:space="preserve"> (Candidato)</w:t>
            </w:r>
          </w:p>
        </w:tc>
        <w:tc>
          <w:tcPr>
            <w:tcW w:w="12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36A5" w:rsidRDefault="00AB36A5" w:rsidP="00AB36A5">
            <w:pPr>
              <w:spacing w:before="60"/>
              <w:ind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Avaliação pela Banca</w:t>
            </w:r>
          </w:p>
        </w:tc>
      </w:tr>
      <w:tr w:rsidR="00AB36A5" w:rsidTr="00E960DC">
        <w:trPr>
          <w:trHeight w:val="284"/>
        </w:trPr>
        <w:tc>
          <w:tcPr>
            <w:tcW w:w="2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 w:hanging="15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Eficiência de Carga Horária (ECH)</w:t>
            </w:r>
          </w:p>
        </w:tc>
        <w:tc>
          <w:tcPr>
            <w:tcW w:w="269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0–0,49: 0,5</w:t>
            </w:r>
          </w:p>
          <w:p w:rsidR="00AB36A5" w:rsidRDefault="00AB36A5" w:rsidP="00990A12">
            <w:pPr>
              <w:spacing w:before="60"/>
              <w:ind w:left="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0,5–0,79: 1,0</w:t>
            </w:r>
          </w:p>
          <w:p w:rsidR="00AB36A5" w:rsidRDefault="00AB36A5" w:rsidP="00990A12">
            <w:pPr>
              <w:spacing w:before="60"/>
              <w:ind w:left="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0,8–1,0: 1,5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</w:tr>
      <w:tr w:rsidR="00AB36A5" w:rsidTr="00E960DC">
        <w:trPr>
          <w:trHeight w:val="284"/>
        </w:trPr>
        <w:tc>
          <w:tcPr>
            <w:tcW w:w="2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Eficiência de Períodos Letivos (EPL)</w:t>
            </w:r>
          </w:p>
        </w:tc>
        <w:tc>
          <w:tcPr>
            <w:tcW w:w="269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0–0,49: 0,5</w:t>
            </w:r>
          </w:p>
          <w:p w:rsidR="00AB36A5" w:rsidRDefault="00AB36A5" w:rsidP="00990A12">
            <w:pPr>
              <w:spacing w:before="60"/>
              <w:ind w:left="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0,5–0,79: 1,0</w:t>
            </w:r>
          </w:p>
          <w:p w:rsidR="00AB36A5" w:rsidRDefault="00AB36A5" w:rsidP="00990A12">
            <w:pPr>
              <w:spacing w:before="60"/>
              <w:ind w:left="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0,8–1,0: 1,5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</w:tr>
      <w:tr w:rsidR="00AB36A5" w:rsidTr="00E960DC">
        <w:trPr>
          <w:trHeight w:val="284"/>
        </w:trPr>
        <w:tc>
          <w:tcPr>
            <w:tcW w:w="2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Certificados de Cursos Gerais</w:t>
            </w:r>
          </w:p>
        </w:tc>
        <w:tc>
          <w:tcPr>
            <w:tcW w:w="269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0,25 por curso</w:t>
            </w:r>
          </w:p>
          <w:p w:rsidR="00AB36A5" w:rsidRDefault="00AB36A5" w:rsidP="00990A12">
            <w:pPr>
              <w:spacing w:before="60"/>
              <w:ind w:left="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(máx. 4 cursos)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</w:tr>
      <w:tr w:rsidR="00AB36A5" w:rsidTr="00E960DC">
        <w:trPr>
          <w:trHeight w:val="284"/>
        </w:trPr>
        <w:tc>
          <w:tcPr>
            <w:tcW w:w="2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AB36A5" w:rsidRDefault="00AB36A5" w:rsidP="00AB36A5">
            <w:pPr>
              <w:spacing w:before="60"/>
              <w:ind w:left="141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Certificados de cursos em Inclusão</w:t>
            </w:r>
          </w:p>
        </w:tc>
        <w:tc>
          <w:tcPr>
            <w:tcW w:w="269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0,5 por curso</w:t>
            </w:r>
            <w:proofErr w:type="gramStart"/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(máx. 3 cursos)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</w:tr>
      <w:tr w:rsidR="00AB36A5" w:rsidTr="00E960DC">
        <w:trPr>
          <w:trHeight w:val="284"/>
        </w:trPr>
        <w:tc>
          <w:tcPr>
            <w:tcW w:w="2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Participação em Atividades Inclusivas</w:t>
            </w:r>
          </w:p>
        </w:tc>
        <w:tc>
          <w:tcPr>
            <w:tcW w:w="269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0,25 por atividade</w:t>
            </w:r>
          </w:p>
          <w:p w:rsidR="00AB36A5" w:rsidRDefault="00AB36A5" w:rsidP="00990A12">
            <w:pPr>
              <w:spacing w:before="60"/>
              <w:ind w:left="126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(máx. 4 Atividades)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</w:tr>
      <w:tr w:rsidR="00AB36A5" w:rsidTr="00E960DC">
        <w:trPr>
          <w:trHeight w:val="284"/>
        </w:trPr>
        <w:tc>
          <w:tcPr>
            <w:tcW w:w="2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Organização de Eventos</w:t>
            </w:r>
          </w:p>
        </w:tc>
        <w:tc>
          <w:tcPr>
            <w:tcW w:w="269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0,1 por evento</w:t>
            </w:r>
          </w:p>
          <w:p w:rsidR="00AB36A5" w:rsidRDefault="00AB36A5" w:rsidP="00990A12">
            <w:pPr>
              <w:spacing w:before="60"/>
              <w:ind w:left="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(máx. 5 eventos)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</w:tr>
      <w:tr w:rsidR="00AB36A5" w:rsidTr="00E960DC">
        <w:trPr>
          <w:trHeight w:val="284"/>
        </w:trPr>
        <w:tc>
          <w:tcPr>
            <w:tcW w:w="2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Ações de Extensão</w:t>
            </w:r>
          </w:p>
        </w:tc>
        <w:tc>
          <w:tcPr>
            <w:tcW w:w="269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0,5 por ação</w:t>
            </w:r>
          </w:p>
          <w:p w:rsidR="00AB36A5" w:rsidRDefault="00AB36A5" w:rsidP="00990A12">
            <w:pPr>
              <w:spacing w:before="60"/>
              <w:ind w:left="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(máx. 2 ações)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</w:tr>
      <w:tr w:rsidR="00AB36A5" w:rsidTr="00E960DC">
        <w:trPr>
          <w:trHeight w:val="284"/>
        </w:trPr>
        <w:tc>
          <w:tcPr>
            <w:tcW w:w="2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Carta de Intenções</w:t>
            </w:r>
          </w:p>
        </w:tc>
        <w:tc>
          <w:tcPr>
            <w:tcW w:w="269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0-1 (qualidade e adequação)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</w:tr>
      <w:tr w:rsidR="00AB36A5" w:rsidTr="00E960DC">
        <w:trPr>
          <w:trHeight w:val="284"/>
        </w:trPr>
        <w:tc>
          <w:tcPr>
            <w:tcW w:w="2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Carta de Recomendação</w:t>
            </w:r>
          </w:p>
        </w:tc>
        <w:tc>
          <w:tcPr>
            <w:tcW w:w="269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0-1 (relevância e consistência)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</w:tr>
      <w:tr w:rsidR="00E960DC" w:rsidTr="00E960DC">
        <w:trPr>
          <w:trHeight w:val="284"/>
        </w:trPr>
        <w:tc>
          <w:tcPr>
            <w:tcW w:w="2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Entrevista</w:t>
            </w:r>
          </w:p>
        </w:tc>
        <w:tc>
          <w:tcPr>
            <w:tcW w:w="269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 w:hanging="15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0-2 (desempenho e motivação)</w:t>
            </w: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404040"/>
                <w:sz w:val="18"/>
                <w:szCs w:val="18"/>
              </w:rPr>
              <w:t>2,0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</w:tr>
      <w:tr w:rsidR="00AB36A5" w:rsidTr="00E960DC">
        <w:trPr>
          <w:trHeight w:val="284"/>
        </w:trPr>
        <w:tc>
          <w:tcPr>
            <w:tcW w:w="2420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141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TOTAL</w:t>
            </w:r>
          </w:p>
        </w:tc>
        <w:tc>
          <w:tcPr>
            <w:tcW w:w="269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-141" w:hanging="15"/>
              <w:jc w:val="center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404040"/>
                <w:sz w:val="18"/>
                <w:szCs w:val="18"/>
              </w:rPr>
              <w:t>12,0</w:t>
            </w:r>
          </w:p>
        </w:tc>
        <w:tc>
          <w:tcPr>
            <w:tcW w:w="1418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36A5" w:rsidRDefault="00AB36A5" w:rsidP="00990A12">
            <w:pPr>
              <w:spacing w:before="60"/>
              <w:ind w:left="720" w:hanging="360"/>
              <w:rPr>
                <w:rFonts w:ascii="Roboto" w:eastAsia="Roboto" w:hAnsi="Roboto" w:cs="Roboto"/>
                <w:color w:val="404040"/>
                <w:sz w:val="18"/>
                <w:szCs w:val="18"/>
              </w:rPr>
            </w:pPr>
          </w:p>
        </w:tc>
      </w:tr>
    </w:tbl>
    <w:p w:rsidR="001D33D1" w:rsidRDefault="001D33D1"/>
    <w:sectPr w:rsidR="001D33D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B7" w:rsidRDefault="005264B7" w:rsidP="0006418A">
      <w:pPr>
        <w:spacing w:line="240" w:lineRule="auto"/>
      </w:pPr>
      <w:r>
        <w:separator/>
      </w:r>
    </w:p>
  </w:endnote>
  <w:endnote w:type="continuationSeparator" w:id="0">
    <w:p w:rsidR="005264B7" w:rsidRDefault="005264B7" w:rsidP="00064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B7" w:rsidRDefault="005264B7" w:rsidP="0006418A">
      <w:pPr>
        <w:spacing w:line="240" w:lineRule="auto"/>
      </w:pPr>
      <w:r>
        <w:separator/>
      </w:r>
    </w:p>
  </w:footnote>
  <w:footnote w:type="continuationSeparator" w:id="0">
    <w:p w:rsidR="005264B7" w:rsidRDefault="005264B7" w:rsidP="00064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8A" w:rsidRDefault="0006418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3877310</wp:posOffset>
          </wp:positionH>
          <wp:positionV relativeFrom="paragraph">
            <wp:posOffset>-36195</wp:posOffset>
          </wp:positionV>
          <wp:extent cx="1765300" cy="407670"/>
          <wp:effectExtent l="0" t="0" r="635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proex fund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0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-238760</wp:posOffset>
          </wp:positionV>
          <wp:extent cx="892175" cy="611505"/>
          <wp:effectExtent l="0" t="0" r="317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zul uenf 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A5"/>
    <w:rsid w:val="00063E1B"/>
    <w:rsid w:val="0006418A"/>
    <w:rsid w:val="00173A6A"/>
    <w:rsid w:val="001D33D1"/>
    <w:rsid w:val="004C0258"/>
    <w:rsid w:val="005264B7"/>
    <w:rsid w:val="0056750F"/>
    <w:rsid w:val="005677DB"/>
    <w:rsid w:val="006867D0"/>
    <w:rsid w:val="00A26371"/>
    <w:rsid w:val="00AB36A5"/>
    <w:rsid w:val="00CC6B7C"/>
    <w:rsid w:val="00E960DC"/>
    <w:rsid w:val="00E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A5"/>
    <w:pPr>
      <w:spacing w:after="0"/>
    </w:pPr>
    <w:rPr>
      <w:rFonts w:ascii="Arial" w:eastAsia="Arial" w:hAnsi="Arial" w:cs="Arial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B36A5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AB36A5"/>
    <w:rPr>
      <w:rFonts w:ascii="Arial" w:eastAsia="Arial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641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18A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41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18A"/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18A"/>
    <w:rPr>
      <w:rFonts w:ascii="Tahoma" w:eastAsia="Arial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A5"/>
    <w:pPr>
      <w:spacing w:after="0"/>
    </w:pPr>
    <w:rPr>
      <w:rFonts w:ascii="Arial" w:eastAsia="Arial" w:hAnsi="Arial" w:cs="Arial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B36A5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AB36A5"/>
    <w:rPr>
      <w:rFonts w:ascii="Arial" w:eastAsia="Arial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641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18A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41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18A"/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1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18A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GINFO</dc:creator>
  <cp:lastModifiedBy>GINFO</cp:lastModifiedBy>
  <cp:revision>2</cp:revision>
  <dcterms:created xsi:type="dcterms:W3CDTF">2025-04-03T19:51:00Z</dcterms:created>
  <dcterms:modified xsi:type="dcterms:W3CDTF">2025-04-03T19:51:00Z</dcterms:modified>
</cp:coreProperties>
</file>