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BB" w:rsidRDefault="00982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50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5175"/>
      </w:tblGrid>
      <w:tr w:rsidR="009825BB"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PROTOCOL OF INTENT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PROTOCOL OF INTENTION BETWEEN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</w:p>
          <w:p w:rsidR="009825BB" w:rsidRDefault="009825BB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Preamble</w:t>
            </w:r>
            <w:proofErr w:type="spellEnd"/>
          </w:p>
          <w:p w:rsidR="009825BB" w:rsidRDefault="009825BB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maximum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  <w:r>
              <w:rPr>
                <w:rFonts w:ascii="Times New Roman" w:eastAsia="Times New Roman" w:hAnsi="Times New Roman" w:cs="Times New Roman"/>
              </w:rPr>
              <w:t xml:space="preserve"> (UENF), Campos dos Goytacazes, RJ,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its Dean, </w:t>
            </w:r>
            <w:r w:rsidR="00246BA2">
              <w:rPr>
                <w:rFonts w:ascii="Times New Roman" w:eastAsia="Times New Roman" w:hAnsi="Times New Roman" w:cs="Times New Roman"/>
                <w:b/>
              </w:rPr>
              <w:t>Rosana Rodrigues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hereinafter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referred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accordance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purp</w:t>
            </w:r>
            <w:r>
              <w:rPr>
                <w:rFonts w:ascii="Times New Roman" w:eastAsia="Times New Roman" w:hAnsi="Times New Roman" w:cs="Times New Roman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together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establish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bilateral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focusing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jointly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implement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capabilities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respective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demanders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_________________.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common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belief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connection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strengthen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joint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individual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capacities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825BB" w:rsidRDefault="009825BB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  <w:proofErr w:type="spellEnd"/>
          </w:p>
          <w:p w:rsidR="009825BB" w:rsidRDefault="009825BB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Memorandum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long-term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include,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following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Jointly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develop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Develop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professional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technicians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Conduct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Workshops.</w:t>
            </w: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Cultural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assistance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​​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technologies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new management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outreach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programs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opportunities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joint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benefits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extension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141" w:firstLine="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Exchange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personnel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assets</w:t>
            </w:r>
            <w:proofErr w:type="spellEnd"/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Management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UENF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jointly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develop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establish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necessary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serve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details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joint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obtained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arrangements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visits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negotiated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procedures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obtaining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negotiated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specif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depend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availability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collaboration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Contacts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friendship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equality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mutual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assistance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persons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Coordination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For ____________________________,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located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 UENF,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headquartered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Av. Alberto Lamego 2000. 28013-602, Campos dos Goytacazes - RJ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Brazil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Mr. ______________________.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Understanding</w:t>
            </w:r>
            <w:proofErr w:type="spellEnd"/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Additive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adopted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possible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changes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forbidden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effective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possibility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extension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participants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terminated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either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notified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advance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disputes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arising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resolved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amicably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Signatures</w:t>
            </w:r>
            <w:proofErr w:type="spellEnd"/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undersigned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authorized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representatives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provisions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cooperation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982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479"/>
              </w:tabs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PROTOCOLO DE INTENÇÕES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PROTOCOLO DE INTENÇÕES ENTRE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</w:t>
            </w: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</w:rPr>
              <w:t>Preâmbulo</w:t>
            </w:r>
          </w:p>
          <w:p w:rsidR="009825BB" w:rsidRDefault="009825BB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representada por seu representante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máximo,  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e a </w:t>
            </w:r>
            <w:r>
              <w:rPr>
                <w:rFonts w:ascii="Times New Roman" w:eastAsia="Times New Roman" w:hAnsi="Times New Roman" w:cs="Times New Roman"/>
                <w:b/>
              </w:rPr>
              <w:t>Universidade Estadual do Norte Fluminense Darcy Ribeiro (UENF)</w:t>
            </w:r>
            <w:r>
              <w:rPr>
                <w:rFonts w:ascii="Times New Roman" w:eastAsia="Times New Roman" w:hAnsi="Times New Roman" w:cs="Times New Roman"/>
              </w:rPr>
              <w:t>, Campos dos Goytacaze</w:t>
            </w:r>
            <w:r w:rsidR="00246BA2">
              <w:rPr>
                <w:rFonts w:ascii="Times New Roman" w:eastAsia="Times New Roman" w:hAnsi="Times New Roman" w:cs="Times New Roman"/>
              </w:rPr>
              <w:t>s, RJ, Brasil, representada pela sua</w:t>
            </w:r>
            <w:r>
              <w:rPr>
                <w:rFonts w:ascii="Times New Roman" w:eastAsia="Times New Roman" w:hAnsi="Times New Roman" w:cs="Times New Roman"/>
              </w:rPr>
              <w:t xml:space="preserve"> Reitor</w:t>
            </w:r>
            <w:r w:rsidR="00246BA2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246BA2">
              <w:rPr>
                <w:rFonts w:ascii="Times New Roman" w:eastAsia="Times New Roman" w:hAnsi="Times New Roman" w:cs="Times New Roman"/>
                <w:b/>
              </w:rPr>
              <w:t>Rosana Rodrigues</w:t>
            </w:r>
            <w:r>
              <w:rPr>
                <w:rFonts w:ascii="Times New Roman" w:eastAsia="Times New Roman" w:hAnsi="Times New Roman" w:cs="Times New Roman"/>
              </w:rPr>
              <w:t xml:space="preserve">, doravante denominadas </w:t>
            </w:r>
            <w:r>
              <w:rPr>
                <w:rFonts w:ascii="Times New Roman" w:eastAsia="Times New Roman" w:hAnsi="Times New Roman" w:cs="Times New Roman"/>
                <w:b/>
              </w:rPr>
              <w:t>Partes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em concordância com o objetivo mútuo de promover cooperação, estabelecem aqui em conjunto, um acordo bilateral, focalizando no desenvolvimento dos seus programas institucionais. Irão conjuntamente desenvolver e implementar atividades para promover suas ca</w:t>
            </w:r>
            <w:r>
              <w:rPr>
                <w:rFonts w:ascii="Times New Roman" w:eastAsia="Times New Roman" w:hAnsi="Times New Roman" w:cs="Times New Roman"/>
              </w:rPr>
              <w:t xml:space="preserve">pacidades de atender seus respectivos demandantes no Brasil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no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________________. Este Protocolo de Intenção é desenvolvido baseado nos interesses comuns das Instituições e sua crença em que a conexão entre elas poderá fortalecer suas capacidades conjun</w:t>
            </w:r>
            <w:r>
              <w:rPr>
                <w:rFonts w:ascii="Times New Roman" w:eastAsia="Times New Roman" w:hAnsi="Times New Roman" w:cs="Times New Roman"/>
              </w:rPr>
              <w:t>tas e individuais.</w:t>
            </w:r>
          </w:p>
          <w:p w:rsidR="009825BB" w:rsidRDefault="009825BB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Objetivos</w:t>
            </w:r>
          </w:p>
          <w:p w:rsidR="009825BB" w:rsidRDefault="0098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ind w:left="14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 objetivos deste Protocolo de Intenções são desenvolver atividades cooperativas de longo tempo. As atividades podem incluir, embora não apenas, as seguintes: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hanging="57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Compartilhar conhecimento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hanging="578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Desenvolver em conjunto programas de pesquisa e educação.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479" w:hanging="33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Desenvolver programas profissionais e de intercâmbio para estudantes,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técnicos, e professores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479" w:hanging="33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Conduzir Seminários e Workshops.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479" w:hanging="33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Intercâmbio cultural através de mútua assistência na área de educação e pesquisa.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479" w:hanging="33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Compartilhar novas tecnologias e novos métodos de gerenciamento através de programas de extensão e outros.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479" w:hanging="33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Procurar oportunidades de financiamento para atividades conjuntas q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ue tragam benefícios mútuos para cada instituição de ensino,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pesquisa, e extensão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9825BB" w:rsidRDefault="00B932E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0"/>
              </w:tabs>
              <w:spacing w:line="276" w:lineRule="auto"/>
              <w:ind w:left="479" w:hanging="33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Intercâmbio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pessoal e patrimônio 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Gerenciamento do Programa 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 e a UENF concordam, em conjunto, desenvolver e estabelecer condições ne</w:t>
            </w:r>
            <w:r>
              <w:rPr>
                <w:rFonts w:ascii="Times New Roman" w:eastAsia="Times New Roman" w:hAnsi="Times New Roman" w:cs="Times New Roman"/>
              </w:rPr>
              <w:t xml:space="preserve">cessárias para a implementação do programa que servirá aos interesses mútuos de ambas as partes.   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Fica acordado que os detalhes das atividades conjuntas, condições de utilização dos resultados obtidos e providências para visitas específicas, intercâmbio, e outras formas de cooperação serão negociadas para cada tipo específico de atividade. 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Também est</w:t>
            </w:r>
            <w:r>
              <w:rPr>
                <w:rFonts w:ascii="Times New Roman" w:eastAsia="Times New Roman" w:hAnsi="Times New Roman" w:cs="Times New Roman"/>
              </w:rPr>
              <w:t>á acordado que os procedimentos para obtenção de financiamento serão negociados para cada tipo específico de atividade e dependerá da disponibilidade de recursos. Cada parte concorda em procurar fontes de financiamento para suportar o intercâmbio e a colab</w:t>
            </w:r>
            <w:r>
              <w:rPr>
                <w:rFonts w:ascii="Times New Roman" w:eastAsia="Times New Roman" w:hAnsi="Times New Roman" w:cs="Times New Roman"/>
              </w:rPr>
              <w:t xml:space="preserve">oração. Os contatos e intercâmbios entre as duas instituições devem ocorrer com base na amizade, igualdade, e assistência mútua. 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Partes concordam em nomear as pessoas responsáveis pela Coordenação do Protocolo: 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Pela  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</w:rPr>
              <w:t>, sediada no endereço  _________________________, responde o senhor(a)  _______________________.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Pela UENF, sediada na Av. Alberto Lamego 2000. 28013-602, Campos dos Goytacazes – RJ – Brasil, responde 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senhor(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______________________.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hanging="139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IV. Termos do 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endimento</w:t>
            </w:r>
          </w:p>
          <w:p w:rsidR="009825BB" w:rsidRDefault="0098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Poderão ser adotados Termos Aditivos para possíveis alterações no presente </w:t>
            </w:r>
            <w:r>
              <w:rPr>
                <w:rFonts w:ascii="Times New Roman" w:eastAsia="Times New Roman" w:hAnsi="Times New Roman" w:cs="Times New Roman"/>
              </w:rPr>
              <w:t>Protocolo,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sendo vedada a alteração do objeto.</w:t>
            </w:r>
          </w:p>
          <w:p w:rsidR="009825BB" w:rsidRDefault="0098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Este Protocolo de Intenções produzirá efeitos a partir da sua assinatura e terá vigência de cinco anos, admitida a prorrogação em havendo interesse dos partícipes. O </w:t>
            </w:r>
            <w:r>
              <w:rPr>
                <w:rFonts w:ascii="Times New Roman" w:eastAsia="Times New Roman" w:hAnsi="Times New Roman" w:cs="Times New Roman"/>
              </w:rPr>
              <w:t>Protocolo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poderá ser encerrado por qualquer das </w:t>
            </w:r>
            <w:r>
              <w:rPr>
                <w:rFonts w:ascii="Times New Roman" w:eastAsia="Times New Roman" w:hAnsi="Times New Roman" w:cs="Times New Roman"/>
              </w:rPr>
              <w:t>Partes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desde que haja notificação da outr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parte com pelo menos 90 dias de antecedência. </w:t>
            </w:r>
          </w:p>
          <w:p w:rsidR="009825BB" w:rsidRDefault="0098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 eventuais litígios que surgirem na interpretação e na aplicação do presente Protocolo de Intenções serão resolvidos de forma amigável</w:t>
            </w:r>
          </w:p>
          <w:p w:rsidR="009825BB" w:rsidRDefault="00982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25BB" w:rsidRDefault="00B93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Assinaturas</w:t>
            </w:r>
          </w:p>
          <w:p w:rsidR="009825BB" w:rsidRDefault="00982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 partes abaixo firmadas, através dos representantes devidamente autorizados, por este documento concordam com as cláusulas deste acordo de cooperação.</w:t>
            </w:r>
          </w:p>
        </w:tc>
      </w:tr>
      <w:tr w:rsidR="009825BB">
        <w:tc>
          <w:tcPr>
            <w:tcW w:w="1035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25BB" w:rsidRDefault="009825BB">
            <w:pPr>
              <w:spacing w:line="276" w:lineRule="auto"/>
              <w:ind w:left="-284" w:right="-142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ind w:left="-284" w:right="-142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ind w:left="-284" w:right="-142"/>
              <w:rPr>
                <w:rFonts w:ascii="Times New Roman" w:eastAsia="Times New Roman" w:hAnsi="Times New Roman" w:cs="Times New Roman"/>
              </w:rPr>
            </w:pPr>
          </w:p>
          <w:p w:rsidR="009825BB" w:rsidRDefault="00B932E3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Campos dos Goytacazes, ______ de 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20___</w:t>
            </w:r>
          </w:p>
          <w:p w:rsidR="009825BB" w:rsidRDefault="009825BB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25BB" w:rsidRDefault="009825BB">
            <w:pPr>
              <w:spacing w:line="276" w:lineRule="auto"/>
              <w:ind w:left="-284" w:righ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5BB"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25BB" w:rsidRDefault="009825B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______________________                                             _____________________________</w:t>
            </w:r>
          </w:p>
          <w:p w:rsidR="009825BB" w:rsidRDefault="00B932E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Rector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–  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</w:t>
            </w:r>
          </w:p>
        </w:tc>
        <w:tc>
          <w:tcPr>
            <w:tcW w:w="51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825BB" w:rsidRDefault="009825B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25BB" w:rsidRDefault="00B932E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                                             </w:t>
            </w:r>
            <w:r w:rsidR="00246BA2">
              <w:rPr>
                <w:rFonts w:ascii="Times New Roman" w:eastAsia="Times New Roman" w:hAnsi="Times New Roman" w:cs="Times New Roman"/>
                <w:b/>
              </w:rPr>
              <w:t>Rosana Rodrigues</w:t>
            </w:r>
          </w:p>
          <w:p w:rsidR="009825BB" w:rsidRDefault="00B932E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Reitor</w:t>
            </w:r>
            <w:r w:rsidR="00246BA2">
              <w:rPr>
                <w:rFonts w:ascii="Times New Roman" w:eastAsia="Times New Roman" w:hAnsi="Times New Roman" w:cs="Times New Roman"/>
                <w:b/>
              </w:rPr>
              <w:t>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– UENF</w:t>
            </w:r>
          </w:p>
        </w:tc>
      </w:tr>
    </w:tbl>
    <w:p w:rsidR="009825BB" w:rsidRDefault="009825BB">
      <w:pPr>
        <w:tabs>
          <w:tab w:val="left" w:pos="851"/>
          <w:tab w:val="left" w:pos="8820"/>
          <w:tab w:val="left" w:pos="9360"/>
        </w:tabs>
        <w:spacing w:line="276" w:lineRule="auto"/>
        <w:ind w:firstLine="1260"/>
        <w:rPr>
          <w:rFonts w:ascii="Times New Roman" w:eastAsia="Times New Roman" w:hAnsi="Times New Roman" w:cs="Times New Roman"/>
        </w:rPr>
      </w:pPr>
    </w:p>
    <w:sectPr w:rsidR="009825BB">
      <w:headerReference w:type="default" r:id="rId7"/>
      <w:footerReference w:type="default" r:id="rId8"/>
      <w:pgSz w:w="11906" w:h="16838"/>
      <w:pgMar w:top="851" w:right="851" w:bottom="567" w:left="1021" w:header="45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E3" w:rsidRDefault="00B932E3">
      <w:r>
        <w:separator/>
      </w:r>
    </w:p>
  </w:endnote>
  <w:endnote w:type="continuationSeparator" w:id="0">
    <w:p w:rsidR="00B932E3" w:rsidRDefault="00B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B" w:rsidRDefault="009825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10664" w:type="dxa"/>
      <w:tblInd w:w="-414" w:type="dxa"/>
      <w:tblLayout w:type="fixed"/>
      <w:tblLook w:val="0000" w:firstRow="0" w:lastRow="0" w:firstColumn="0" w:lastColumn="0" w:noHBand="0" w:noVBand="0"/>
    </w:tblPr>
    <w:tblGrid>
      <w:gridCol w:w="3504"/>
      <w:gridCol w:w="7160"/>
    </w:tblGrid>
    <w:tr w:rsidR="009825BB">
      <w:trPr>
        <w:trHeight w:val="983"/>
      </w:trPr>
      <w:tc>
        <w:tcPr>
          <w:tcW w:w="3504" w:type="dxa"/>
          <w:vAlign w:val="center"/>
        </w:tcPr>
        <w:p w:rsidR="009825BB" w:rsidRDefault="00B932E3">
          <w:pPr>
            <w:tabs>
              <w:tab w:val="center" w:pos="4419"/>
              <w:tab w:val="right" w:pos="8838"/>
            </w:tabs>
            <w:spacing w:before="120"/>
          </w:pPr>
          <w:r>
            <w:rPr>
              <w:noProof/>
              <w:sz w:val="16"/>
              <w:szCs w:val="16"/>
            </w:rPr>
            <w:drawing>
              <wp:inline distT="0" distB="0" distL="114300" distR="114300">
                <wp:extent cx="723900" cy="581025"/>
                <wp:effectExtent l="0" t="0" r="0" b="0"/>
                <wp:docPr id="3" name="image2.png" descr="Uenf25an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enf25ano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114300" distR="114300">
                <wp:extent cx="1363980" cy="523875"/>
                <wp:effectExtent l="0" t="0" r="0" b="0"/>
                <wp:docPr id="2" name="image3.jpg" descr="ASSAI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ASSAII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0" w:type="dxa"/>
          <w:vAlign w:val="center"/>
        </w:tcPr>
        <w:p w:rsidR="009825BB" w:rsidRDefault="00B932E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Av. Alberto Lamego, 2000</w:t>
          </w:r>
        </w:p>
        <w:p w:rsidR="009825BB" w:rsidRDefault="00B932E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Parque Califórnia, Campos dos Goytacazes, RJ,</w:t>
          </w:r>
        </w:p>
        <w:p w:rsidR="009825BB" w:rsidRDefault="00B932E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Brazil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 28013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-602 </w:t>
          </w:r>
        </w:p>
        <w:p w:rsidR="009825BB" w:rsidRDefault="00B932E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Tel.: (22) 2748-6004</w:t>
          </w:r>
        </w:p>
        <w:p w:rsidR="009825BB" w:rsidRDefault="00B932E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e.mail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: assaii@uenf.br</w:t>
          </w:r>
        </w:p>
      </w:tc>
    </w:tr>
  </w:tbl>
  <w:p w:rsidR="009825BB" w:rsidRDefault="009825B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E3" w:rsidRDefault="00B932E3">
      <w:r>
        <w:separator/>
      </w:r>
    </w:p>
  </w:footnote>
  <w:footnote w:type="continuationSeparator" w:id="0">
    <w:p w:rsidR="00B932E3" w:rsidRDefault="00B9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5BB" w:rsidRDefault="009825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9322" w:type="dxa"/>
      <w:tblInd w:w="0" w:type="dxa"/>
      <w:tblLayout w:type="fixed"/>
      <w:tblLook w:val="0000" w:firstRow="0" w:lastRow="0" w:firstColumn="0" w:lastColumn="0" w:noHBand="0" w:noVBand="0"/>
    </w:tblPr>
    <w:tblGrid>
      <w:gridCol w:w="9322"/>
    </w:tblGrid>
    <w:tr w:rsidR="009825BB">
      <w:trPr>
        <w:trHeight w:val="701"/>
      </w:trPr>
      <w:tc>
        <w:tcPr>
          <w:tcW w:w="9322" w:type="dxa"/>
        </w:tcPr>
        <w:p w:rsidR="009825BB" w:rsidRDefault="00B932E3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114300" distR="114300">
                <wp:extent cx="1762760" cy="45656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456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25BB">
      <w:trPr>
        <w:trHeight w:val="910"/>
      </w:trPr>
      <w:tc>
        <w:tcPr>
          <w:tcW w:w="9322" w:type="dxa"/>
        </w:tcPr>
        <w:p w:rsidR="009825BB" w:rsidRDefault="00B932E3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Secretaria de Estado de Ciência, Tecnologia e Inovação </w:t>
          </w:r>
        </w:p>
        <w:p w:rsidR="009825BB" w:rsidRDefault="00B932E3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Universidade Estadual do Norte Fluminense Darcy Ribeiro</w:t>
          </w:r>
        </w:p>
        <w:p w:rsidR="009825BB" w:rsidRDefault="00B932E3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Assessoria de Assuntos Internacionais e Interinstitucionais</w:t>
          </w:r>
        </w:p>
      </w:tc>
    </w:tr>
  </w:tbl>
  <w:p w:rsidR="009825BB" w:rsidRDefault="009825BB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5611"/>
    <w:multiLevelType w:val="multilevel"/>
    <w:tmpl w:val="3998E9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63C59EA"/>
    <w:multiLevelType w:val="multilevel"/>
    <w:tmpl w:val="5A8E68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6821A38"/>
    <w:multiLevelType w:val="multilevel"/>
    <w:tmpl w:val="1FDC7C48"/>
    <w:lvl w:ilvl="0">
      <w:start w:val="4"/>
      <w:numFmt w:val="upperRoman"/>
      <w:lvlText w:val="%1."/>
      <w:lvlJc w:val="left"/>
      <w:pPr>
        <w:ind w:left="142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B"/>
    <w:rsid w:val="00246BA2"/>
    <w:rsid w:val="009825BB"/>
    <w:rsid w:val="00B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D627-FA96-4D44-BBC0-A62601A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6391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UENF</cp:lastModifiedBy>
  <cp:revision>2</cp:revision>
  <dcterms:created xsi:type="dcterms:W3CDTF">2024-02-20T18:57:00Z</dcterms:created>
  <dcterms:modified xsi:type="dcterms:W3CDTF">2024-02-20T18:58:00Z</dcterms:modified>
</cp:coreProperties>
</file>