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D4" w:rsidRDefault="005E59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826" w:type="dxa"/>
        <w:tblInd w:w="-2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865"/>
        <w:gridCol w:w="250"/>
        <w:gridCol w:w="4711"/>
      </w:tblGrid>
      <w:tr w:rsidR="005E59D4"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ACORDO DE COOPERAÇÃO TÉCNICA QUE ENTRE SI CELEBRAM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UNIVERSIDADE ESTADUAL DO NORTE FLUMINENSE DARCY RIBEIRO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Universidade Estadual do Norte Fluminense Darcy Ribeiro (UENF), com sede na Av. Alberto Lamego, 2000, Campos dos Goytacazes/RJ, inscrita no CNPJ/MF sob o nº 04.809.688/0001-06, neste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ato representada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por sua Reitora, Prof. Dra. Rosana Rodrigues, 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</w:t>
            </w:r>
            <w:proofErr w:type="gramEnd"/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__________________________________, doravante designada ___________________ com sede na _________________________________________________, inscrito no CNPJ/MF sob o nº __________________________ e representada por seu _________, ___________________________</w:t>
            </w:r>
            <w:r>
              <w:rPr>
                <w:rFonts w:ascii="Times New Roman" w:eastAsia="Times New Roman" w:hAnsi="Times New Roman" w:cs="Times New Roman"/>
              </w:rPr>
              <w:t>_ identificado com o documento _______________ n°_____________________,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resolvem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celebrar o presente </w:t>
            </w:r>
            <w:r>
              <w:rPr>
                <w:rFonts w:ascii="Times New Roman" w:eastAsia="Times New Roman" w:hAnsi="Times New Roman" w:cs="Times New Roman"/>
                <w:b/>
              </w:rPr>
              <w:t>Acordo de Cooperação Técnica</w:t>
            </w:r>
            <w:r>
              <w:rPr>
                <w:rFonts w:ascii="Times New Roman" w:eastAsia="Times New Roman" w:hAnsi="Times New Roman" w:cs="Times New Roman"/>
              </w:rPr>
              <w:t>, conforme as cláusulas e condições a seguir estipuladas: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CLÁUSULA PRIMEIRA – DO OBJETO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O presente Acordo de Cooperação </w:t>
            </w:r>
            <w:r>
              <w:rPr>
                <w:rFonts w:ascii="Times New Roman" w:eastAsia="Times New Roman" w:hAnsi="Times New Roman" w:cs="Times New Roman"/>
              </w:rPr>
              <w:t>tem por objeto unir esforços acadêmicos, científicos e tecnológicos entre as partes para a realização de atividades de cooperação interinstitucional, envolvendo, entre outras: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a) Mobilidade acadêmica de estudantes e </w:t>
            </w:r>
            <w:r w:rsidR="006C57BF">
              <w:rPr>
                <w:rFonts w:ascii="Times New Roman" w:eastAsia="Times New Roman" w:hAnsi="Times New Roman" w:cs="Times New Roman"/>
              </w:rPr>
              <w:t>servidores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 Oferta conjunta de pro</w:t>
            </w:r>
            <w:r>
              <w:rPr>
                <w:rFonts w:ascii="Times New Roman" w:eastAsia="Times New Roman" w:hAnsi="Times New Roman" w:cs="Times New Roman"/>
              </w:rPr>
              <w:t>gramas de educação continuada, tais como cursos, seminários e formações de caráter acadêmico, pedagógico ou disciplinar e aperfeiçoamento em línguas;</w:t>
            </w: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 Extensão de programas de ensino de graduação e pós-graduação, às áreas acordadas pelas partes;</w:t>
            </w:r>
          </w:p>
          <w:p w:rsidR="007349D7" w:rsidRDefault="00734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d) Desen</w:t>
            </w:r>
            <w:r>
              <w:rPr>
                <w:rFonts w:ascii="Times New Roman" w:eastAsia="Times New Roman" w:hAnsi="Times New Roman" w:cs="Times New Roman"/>
              </w:rPr>
              <w:t>volvimento conjunto de projetos de pesquisa e extensão;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CLÁUSULA SEGUNDA – DO PLANO DE TRABALHO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Plano de Trabalho, que será parte integrante deste Acordo, conterá os detalhes da execução das atividades, tais como: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 Identificação do objeto a ser exec</w:t>
            </w:r>
            <w:r>
              <w:rPr>
                <w:rFonts w:ascii="Times New Roman" w:eastAsia="Times New Roman" w:hAnsi="Times New Roman" w:cs="Times New Roman"/>
              </w:rPr>
              <w:t>utado;</w:t>
            </w: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 Metas a serem atingidas;</w:t>
            </w: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 Etapas ou fases de execução;</w:t>
            </w: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d) Plano de aplicação dos recursos financeiros, se for o caso;</w:t>
            </w: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e) Cronograma de desembolso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 se for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 caso;</w:t>
            </w: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f) Previsão de início e fim da execução do objeto, bem como a conclusão das etapas ou fases programadas.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PARÁGRAFO ÚNICO:</w:t>
            </w:r>
            <w:r>
              <w:rPr>
                <w:rFonts w:ascii="Times New Roman" w:eastAsia="Times New Roman" w:hAnsi="Times New Roman" w:cs="Times New Roman"/>
              </w:rPr>
              <w:t xml:space="preserve"> O presente Instrumento Jurídico poderá conter múltiplos Planos de Trabalho. 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CLÁUSULA TERCEIRA – DAS OBRIGAÇÕES COMUNS DAS PARTES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onstituem obrigações comuns de ambas as partes: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a) Executar as ações previstas no presente Acordo,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conforme o Plano de Trabalho;</w:t>
            </w: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 Designar representantes para coordenar a execução do Acordo;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 Prover os recursos humanos, tecnológicos e materiais nece</w:t>
            </w:r>
            <w:r>
              <w:rPr>
                <w:rFonts w:ascii="Times New Roman" w:eastAsia="Times New Roman" w:hAnsi="Times New Roman" w:cs="Times New Roman"/>
              </w:rPr>
              <w:t>ssários à execução das atividades pactuadas;</w:t>
            </w: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d) Monitorar os resultados e, quando necessário, reformular metas para garantir o sucesso do Acordo;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e) Permitir o livre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acesso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 agentes públicos, para auditorias e fiscalização;</w:t>
            </w: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f) Cumprir a legislação brasil</w:t>
            </w:r>
            <w:r>
              <w:rPr>
                <w:rFonts w:ascii="Times New Roman" w:eastAsia="Times New Roman" w:hAnsi="Times New Roman" w:cs="Times New Roman"/>
              </w:rPr>
              <w:t>eira de proteção de dados pessoais (Lei nº 13.709/2018 – LGPD).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CLÁUSULA QUARTA – DOS RECURSOS FINANCEIROS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Não haverá transferência de recursos financeiros entre as partes. As despesas relativas à execução do Acordo correrão por conta das respectivas dotações orçamentárias dos partícipes, sem qualquer repasse financeiro entre eles.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CLÁUSULA QUINTA – DA VIGÊNCIA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 presente Acordo terá vigência de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(cinco) anos, a partir da data de sua assinatura, podendo ser prorrogado mediante a celebração de termo aditivo, desde que haja manifestação expressa e comum acordo entre as partes.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CLÁUS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ULA SEXTA – DAS ALTERAÇÕES 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Acordo poderá ser alterado, no todo ou em parte, por meio de termo aditivo, desde que mantido o seu objeto e as condições previamente acordadas.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CLÁUSULA SÉTIMA – DA DENÚNCIA E RESCISÃO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Qualquer das partes poderá, a qualqu</w:t>
            </w:r>
            <w:r>
              <w:rPr>
                <w:rFonts w:ascii="Times New Roman" w:eastAsia="Times New Roman" w:hAnsi="Times New Roman" w:cs="Times New Roman"/>
              </w:rPr>
              <w:t>er tempo, denunciar o presente Acordo mediante notificação escrita à outra parte, com antecedência mínima de 90 (noventa) dias. A denúncia ou rescisão não afetará as ações já em execução.</w:t>
            </w: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CLÁUSULA OITAVA – DO COMPLIANCE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 partes comprometem-se a cumprir todas as legislações anticorrupção aplicáveis. A parte que identificar qualquer violação poderá rescindir unilateralmente o presente Acordo, sem prejuízo de eventuais responsabilidades legais. 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CLÁUSULA NONA – DA PROTEÇÃ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O DE DADOS 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 partes comprometem-se a proteger quaisquer dados pessoais tratados no âmbito deste Acordo, em conformidade com a Lei Geral de Proteção de Dados (LGPD), e serão individualmente responsáveis por qualquer violação desta legislação.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CLÁUSULA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DÉCIMA – DO FORO 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 partes elegem o foro da Comarca de Campos dos Goytacazes/RJ para dirimir eventuais litígios decorrentes deste Acordo, com renúncia expressa a qualquer outro, por mais privilegiado que seja. 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CLÁUSULA DÉCIMA PRIMEIRA – DA PUBLICAÇÃO 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UENF será responsável pela publicação de extrato do presente Acordo no Diário Oficial do Estado do Rio de Janeiro (DOERJ) e pelo envio de cópias à Secretaria de Estado de Ciência, Tecnologia e Inovação (SECTI) e ao Tribunal de Contas do Estado do Rio d</w:t>
            </w:r>
            <w:r>
              <w:rPr>
                <w:rFonts w:ascii="Times New Roman" w:eastAsia="Times New Roman" w:hAnsi="Times New Roman" w:cs="Times New Roman"/>
              </w:rPr>
              <w:t>e Janeiro (TCERJ).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CLÁUSULA DÉCIMA SEGUNDA – DAS DISPOSIÇÕES FINAIS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 situações não previstas neste Acordo serão resolvidas em comum acordo entre as partes, visando à execução integral do objeto pactuado.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E, por estarem plenamente de acordo, as partes</w:t>
            </w:r>
            <w:r>
              <w:rPr>
                <w:rFonts w:ascii="Times New Roman" w:eastAsia="Times New Roman" w:hAnsi="Times New Roman" w:cs="Times New Roman"/>
              </w:rPr>
              <w:t xml:space="preserve"> firmam o presente Acordo de Cooperação Técnica em 02 (duas) vias de igual teor e forma, para que produza seus efeitos legais.</w:t>
            </w: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9D4" w:rsidRDefault="005E59D4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TECHNICAL COOPERATION AGREEMENT BETWEEN THE PARTIES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UNIVERSIDADE ESTADUAL DO NORTE FLUMINENSE DARCY RIBEIRO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Universidade Estadual do Norte Fluminense Darcy Ribeiro (UENF),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headquartered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Av. Alberto Lamego, 2000, Campos dos Goytacazes/RJ,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registered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CNPJ/MF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No. 04.809.688/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0001-06,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her</w:t>
            </w:r>
            <w:r>
              <w:rPr>
                <w:rFonts w:ascii="Times New Roman" w:eastAsia="Times New Roman" w:hAnsi="Times New Roman" w:cs="Times New Roman"/>
              </w:rPr>
              <w:t>eby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represented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its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Prof. Dr. Rosana Rodrigues, 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proofErr w:type="gramEnd"/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hereinafter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referred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as ___________________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registered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office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_________________________________________________,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registered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CNPJ/MF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No. __________________________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represented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its _________, ____________________________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identified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_______________ n°_____________________,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decided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Technical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Cooperation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accordance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clauses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conditions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stipulated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CLAUSE ONE - THE OBJECT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purpose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Cooperation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academic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scientific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technological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efforts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between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out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inter-institutional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cooperation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involvin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among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others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Academic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mobility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staff;</w:t>
            </w: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b) Joint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offer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continuing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courses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seminars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training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academic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pedagogical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disciplinary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training;</w:t>
            </w: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Extension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undergraduate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postgraduate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areas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upon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d) Joint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extension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CLAUSE TWO - THE WORK PLAN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will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integral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contain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details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execution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as: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Identification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object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executed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Goals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achieved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execution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financial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resources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if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applicable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Disbursement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schedule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applicable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Scheduling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start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execution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object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conclusion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scheduled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SOLE PARAGRAPH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Legal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ontain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multiple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CLAUSE THREE - COMMON OBLIGATIONS OF THE PARTIES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These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common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obligations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out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provided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accordance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Appoint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representatives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coordin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Provide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human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technological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material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resources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necessary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out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d) Monitor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results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necessary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reformulate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targets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ensure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success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Allow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access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inspections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Brazilian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legislation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protection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data (Law No. 13,709/2018 - LGPD).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CLAUSE FOUR - FINANCIAL RESOURCES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will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financial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resources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between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Expenses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related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execution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will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borne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respective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budget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allocations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without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financial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between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CLAUSE FIVE - DURATIO</w:t>
            </w:r>
            <w:r>
              <w:rPr>
                <w:rFonts w:ascii="Times New Roman" w:eastAsia="Times New Roman" w:hAnsi="Times New Roman" w:cs="Times New Roman"/>
                <w:b/>
              </w:rPr>
              <w:t>N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will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force for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(5)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years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date 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signed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extended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signing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addendum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provided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express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mutual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between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CLAUSE SIX - CHANGES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amended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whole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means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addendum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provided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its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purpose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conditions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previously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upon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maintained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CLAUSE SEVEN - TERMINATION AND RESCISSION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Either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time,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terminate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giving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least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ninety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'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Denunciation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termination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affect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already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progress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CLAUSE EIGHT - COMPLIANCE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undertake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applicable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anti-corruption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legislation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The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identifies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viol</w:t>
            </w:r>
            <w:r>
              <w:rPr>
                <w:rFonts w:ascii="Times New Roman" w:eastAsia="Times New Roman" w:hAnsi="Times New Roman" w:cs="Times New Roman"/>
              </w:rPr>
              <w:t>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unilaterally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terminate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without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prejudice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legal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liability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CLAUSE NINE - DATA PROTECTION 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undertake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protect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processed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accordance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General Data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Protection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(LGPD).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individually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liable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breach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legislation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CLAUSE TEN - JURISDICTION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jurisdiction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District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Campos dos Goytacazes/RJ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settle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disputes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arising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expressly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waiving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jurisdiction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however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privileged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ELEVENTH CLAUSE - PUBLICATION 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UENF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will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responsible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publishing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extract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Official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Gazette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Rio de Janeiro (DOERJ)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copies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Secretariat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Science, Technology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Innovation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(SECTI)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Auditors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Rio de Janeiro (TCERJ).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CLAU</w:t>
            </w:r>
            <w:r>
              <w:rPr>
                <w:rFonts w:ascii="Times New Roman" w:eastAsia="Times New Roman" w:hAnsi="Times New Roman" w:cs="Times New Roman"/>
                <w:b/>
              </w:rPr>
              <w:t>SE TWELVE - FINAL PROVISIONS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Situations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provided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will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resolved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mutual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between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view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complete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execution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object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sign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Technical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Cooperation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02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two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copies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equal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produce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its legal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effects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5E59D4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59D4" w:rsidRDefault="001D471A">
            <w:pPr>
              <w:tabs>
                <w:tab w:val="left" w:pos="851"/>
                <w:tab w:val="left" w:pos="882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:rsidR="005E59D4" w:rsidRDefault="005E59D4">
      <w:pPr>
        <w:tabs>
          <w:tab w:val="left" w:pos="851"/>
          <w:tab w:val="left" w:pos="8820"/>
          <w:tab w:val="left" w:pos="9360"/>
        </w:tabs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5E59D4" w:rsidRDefault="005E59D4">
      <w:pPr>
        <w:tabs>
          <w:tab w:val="left" w:pos="851"/>
          <w:tab w:val="left" w:pos="8820"/>
          <w:tab w:val="left" w:pos="9360"/>
        </w:tabs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5E59D4" w:rsidRDefault="001D471A">
      <w:pPr>
        <w:tabs>
          <w:tab w:val="left" w:pos="851"/>
          <w:tab w:val="left" w:pos="8820"/>
          <w:tab w:val="left" w:pos="9360"/>
        </w:tabs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Campos dos Goytacazes, ______de ____________de </w:t>
      </w:r>
      <w:proofErr w:type="gramStart"/>
      <w:r>
        <w:rPr>
          <w:rFonts w:ascii="Times New Roman" w:eastAsia="Times New Roman" w:hAnsi="Times New Roman" w:cs="Times New Roman"/>
        </w:rPr>
        <w:t>202X</w:t>
      </w:r>
      <w:proofErr w:type="gramEnd"/>
    </w:p>
    <w:p w:rsidR="005E59D4" w:rsidRDefault="005E59D4">
      <w:pPr>
        <w:tabs>
          <w:tab w:val="left" w:pos="851"/>
          <w:tab w:val="left" w:pos="8820"/>
          <w:tab w:val="left" w:pos="9360"/>
        </w:tabs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5E59D4" w:rsidRDefault="005E59D4">
      <w:pPr>
        <w:tabs>
          <w:tab w:val="left" w:pos="851"/>
          <w:tab w:val="left" w:pos="8820"/>
          <w:tab w:val="left" w:pos="9360"/>
        </w:tabs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5E59D4" w:rsidRDefault="005E59D4">
      <w:pPr>
        <w:tabs>
          <w:tab w:val="left" w:pos="851"/>
          <w:tab w:val="left" w:pos="8820"/>
          <w:tab w:val="left" w:pos="9360"/>
        </w:tabs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5E59D4" w:rsidRDefault="005E59D4">
      <w:pPr>
        <w:tabs>
          <w:tab w:val="left" w:pos="8820"/>
        </w:tabs>
        <w:spacing w:line="276" w:lineRule="auto"/>
        <w:rPr>
          <w:sz w:val="10"/>
          <w:szCs w:val="10"/>
        </w:rPr>
      </w:pPr>
    </w:p>
    <w:p w:rsidR="005E59D4" w:rsidRDefault="005E59D4">
      <w:pPr>
        <w:tabs>
          <w:tab w:val="left" w:pos="8820"/>
        </w:tabs>
        <w:spacing w:line="276" w:lineRule="auto"/>
        <w:rPr>
          <w:sz w:val="10"/>
          <w:szCs w:val="10"/>
        </w:rPr>
      </w:pPr>
    </w:p>
    <w:p w:rsidR="005E59D4" w:rsidRDefault="001D471A">
      <w:pPr>
        <w:tabs>
          <w:tab w:val="left" w:pos="8820"/>
        </w:tabs>
        <w:spacing w:line="276" w:lineRule="auto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:rsidR="005E59D4" w:rsidRDefault="001D471A">
      <w:pPr>
        <w:widowControl w:val="0"/>
        <w:spacing w:line="276" w:lineRule="auto"/>
        <w:rPr>
          <w:rFonts w:ascii="Times New Roman" w:eastAsia="Times New Roman" w:hAnsi="Times New Roman" w:cs="Times New Roman"/>
          <w:b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10"/>
          <w:szCs w:val="10"/>
        </w:rPr>
        <w:t xml:space="preserve">                  ________________________________________________</w:t>
      </w:r>
      <w:r>
        <w:rPr>
          <w:rFonts w:ascii="Times New Roman" w:eastAsia="Times New Roman" w:hAnsi="Times New Roman" w:cs="Times New Roman"/>
          <w:b/>
          <w:sz w:val="10"/>
          <w:szCs w:val="10"/>
        </w:rPr>
        <w:tab/>
      </w:r>
      <w:r>
        <w:rPr>
          <w:rFonts w:ascii="Times New Roman" w:eastAsia="Times New Roman" w:hAnsi="Times New Roman" w:cs="Times New Roman"/>
          <w:b/>
          <w:sz w:val="10"/>
          <w:szCs w:val="10"/>
        </w:rPr>
        <w:tab/>
      </w:r>
      <w:r>
        <w:rPr>
          <w:rFonts w:ascii="Times New Roman" w:eastAsia="Times New Roman" w:hAnsi="Times New Roman" w:cs="Times New Roman"/>
          <w:b/>
          <w:sz w:val="10"/>
          <w:szCs w:val="10"/>
        </w:rPr>
        <w:tab/>
      </w:r>
      <w:r>
        <w:rPr>
          <w:rFonts w:ascii="Times New Roman" w:eastAsia="Times New Roman" w:hAnsi="Times New Roman" w:cs="Times New Roman"/>
          <w:b/>
          <w:sz w:val="10"/>
          <w:szCs w:val="10"/>
        </w:rPr>
        <w:tab/>
        <w:t>_____________________________________________________________________________________</w:t>
      </w:r>
    </w:p>
    <w:p w:rsidR="005E59D4" w:rsidRDefault="001D471A">
      <w:pPr>
        <w:widowControl w:val="0"/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Rosana Rodrigues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Dean, </w:t>
      </w:r>
      <w:proofErr w:type="spellStart"/>
      <w:r>
        <w:rPr>
          <w:rFonts w:ascii="Times New Roman" w:eastAsia="Times New Roman" w:hAnsi="Times New Roman" w:cs="Times New Roman"/>
          <w:b/>
        </w:rPr>
        <w:t>Rector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or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Legal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Representative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</w:t>
      </w:r>
    </w:p>
    <w:p w:rsidR="005E59D4" w:rsidRDefault="001D471A">
      <w:pPr>
        <w:widowControl w:val="0"/>
        <w:spacing w:line="276" w:lineRule="auto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Reitora – UENF</w:t>
      </w:r>
    </w:p>
    <w:sectPr w:rsidR="005E59D4">
      <w:headerReference w:type="default" r:id="rId7"/>
      <w:footerReference w:type="default" r:id="rId8"/>
      <w:pgSz w:w="11906" w:h="16838"/>
      <w:pgMar w:top="851" w:right="851" w:bottom="851" w:left="1134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71A" w:rsidRDefault="001D471A">
      <w:r>
        <w:separator/>
      </w:r>
    </w:p>
  </w:endnote>
  <w:endnote w:type="continuationSeparator" w:id="0">
    <w:p w:rsidR="001D471A" w:rsidRDefault="001D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D4" w:rsidRDefault="005E59D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1"/>
      <w:tblW w:w="9354" w:type="dxa"/>
      <w:tblInd w:w="-414" w:type="dxa"/>
      <w:tblLayout w:type="fixed"/>
      <w:tblLook w:val="0400" w:firstRow="0" w:lastRow="0" w:firstColumn="0" w:lastColumn="0" w:noHBand="0" w:noVBand="1"/>
    </w:tblPr>
    <w:tblGrid>
      <w:gridCol w:w="1515"/>
      <w:gridCol w:w="7839"/>
    </w:tblGrid>
    <w:tr w:rsidR="005E59D4">
      <w:trPr>
        <w:trHeight w:val="983"/>
      </w:trPr>
      <w:tc>
        <w:tcPr>
          <w:tcW w:w="1515" w:type="dxa"/>
          <w:shd w:val="clear" w:color="auto" w:fill="auto"/>
          <w:vAlign w:val="center"/>
        </w:tcPr>
        <w:p w:rsidR="005E59D4" w:rsidRDefault="001D471A">
          <w:pPr>
            <w:tabs>
              <w:tab w:val="center" w:pos="4419"/>
              <w:tab w:val="right" w:pos="8838"/>
            </w:tabs>
            <w:spacing w:before="120"/>
          </w:pPr>
          <w:r>
            <w:rPr>
              <w:noProof/>
              <w:sz w:val="16"/>
              <w:szCs w:val="16"/>
            </w:rPr>
            <w:drawing>
              <wp:inline distT="0" distB="0" distL="114300" distR="114300">
                <wp:extent cx="723900" cy="581025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9" w:type="dxa"/>
          <w:shd w:val="clear" w:color="auto" w:fill="auto"/>
          <w:vAlign w:val="center"/>
        </w:tcPr>
        <w:p w:rsidR="005E59D4" w:rsidRDefault="001D471A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Av. Alberto Lamego, 2000 Parque Califórnia, Campos dos Goytacazes, RJ, </w:t>
          </w:r>
          <w:proofErr w:type="spellStart"/>
          <w:r>
            <w:rPr>
              <w:rFonts w:ascii="Times New Roman" w:eastAsia="Times New Roman" w:hAnsi="Times New Roman" w:cs="Times New Roman"/>
              <w:sz w:val="18"/>
              <w:szCs w:val="18"/>
            </w:rPr>
            <w:t>Brazil</w:t>
          </w:r>
          <w:proofErr w:type="spellEnd"/>
          <w:proofErr w:type="gramStart"/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 </w:t>
          </w:r>
          <w:proofErr w:type="gramEnd"/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28013-602 </w:t>
          </w:r>
        </w:p>
        <w:p w:rsidR="005E59D4" w:rsidRDefault="001D471A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Tel.: (22) 2748-6004. </w:t>
          </w:r>
          <w:proofErr w:type="spellStart"/>
          <w:r>
            <w:rPr>
              <w:rFonts w:ascii="Times New Roman" w:eastAsia="Times New Roman" w:hAnsi="Times New Roman" w:cs="Times New Roman"/>
              <w:sz w:val="18"/>
              <w:szCs w:val="18"/>
            </w:rPr>
            <w:t>Email</w:t>
          </w:r>
          <w:proofErr w:type="spellEnd"/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: </w:t>
          </w:r>
          <w:hyperlink r:id="rId2"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assaii@uenf.br</w:t>
            </w:r>
          </w:hyperlink>
        </w:p>
        <w:p w:rsidR="005E59D4" w:rsidRDefault="005E59D4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</w:tr>
  </w:tbl>
  <w:p w:rsidR="005E59D4" w:rsidRDefault="001D47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114300" distR="114300">
          <wp:extent cx="1362075" cy="62865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71A" w:rsidRDefault="001D471A">
      <w:r>
        <w:separator/>
      </w:r>
    </w:p>
  </w:footnote>
  <w:footnote w:type="continuationSeparator" w:id="0">
    <w:p w:rsidR="001D471A" w:rsidRDefault="001D4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D4" w:rsidRDefault="005E59D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b/>
      </w:rPr>
    </w:pPr>
  </w:p>
  <w:tbl>
    <w:tblPr>
      <w:tblStyle w:val="a0"/>
      <w:tblW w:w="9322" w:type="dxa"/>
      <w:tblInd w:w="115" w:type="dxa"/>
      <w:tblLayout w:type="fixed"/>
      <w:tblLook w:val="0400" w:firstRow="0" w:lastRow="0" w:firstColumn="0" w:lastColumn="0" w:noHBand="0" w:noVBand="1"/>
    </w:tblPr>
    <w:tblGrid>
      <w:gridCol w:w="9322"/>
    </w:tblGrid>
    <w:tr w:rsidR="005E59D4">
      <w:trPr>
        <w:trHeight w:val="701"/>
      </w:trPr>
      <w:tc>
        <w:tcPr>
          <w:tcW w:w="9322" w:type="dxa"/>
          <w:shd w:val="clear" w:color="auto" w:fill="auto"/>
        </w:tcPr>
        <w:p w:rsidR="005E59D4" w:rsidRDefault="001D471A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0</wp:posOffset>
                </wp:positionV>
                <wp:extent cx="1762125" cy="457200"/>
                <wp:effectExtent l="0" t="0" r="0" b="0"/>
                <wp:wrapSquare wrapText="bothSides" distT="0" distB="0" distL="114300" distR="114300"/>
                <wp:docPr id="1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5E59D4">
      <w:trPr>
        <w:trHeight w:val="910"/>
      </w:trPr>
      <w:tc>
        <w:tcPr>
          <w:tcW w:w="9322" w:type="dxa"/>
          <w:shd w:val="clear" w:color="auto" w:fill="auto"/>
        </w:tcPr>
        <w:p w:rsidR="005E59D4" w:rsidRDefault="001D471A">
          <w:pPr>
            <w:spacing w:line="22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Secretaria de Estado de Ciência, Tecnologia e </w:t>
          </w:r>
          <w:proofErr w:type="gramStart"/>
          <w:r>
            <w:rPr>
              <w:rFonts w:ascii="Times New Roman" w:eastAsia="Times New Roman" w:hAnsi="Times New Roman" w:cs="Times New Roman"/>
              <w:sz w:val="18"/>
              <w:szCs w:val="18"/>
            </w:rPr>
            <w:t>Inovação</w:t>
          </w:r>
          <w:proofErr w:type="gramEnd"/>
        </w:p>
        <w:p w:rsidR="005E59D4" w:rsidRDefault="001D471A">
          <w:pPr>
            <w:spacing w:line="22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Universidade Estadual do Norte Fluminense Darcy Ribeiro</w:t>
          </w:r>
        </w:p>
        <w:p w:rsidR="005E59D4" w:rsidRDefault="001D471A">
          <w:pPr>
            <w:tabs>
              <w:tab w:val="left" w:pos="6720"/>
            </w:tabs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Assessoria de Assuntos Internacionais e Interinstitucionais</w:t>
          </w:r>
        </w:p>
      </w:tc>
    </w:tr>
  </w:tbl>
  <w:p w:rsidR="005E59D4" w:rsidRDefault="005E59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59D4"/>
    <w:rsid w:val="001D471A"/>
    <w:rsid w:val="005E59D4"/>
    <w:rsid w:val="006C57BF"/>
    <w:rsid w:val="0073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eastAsia="Arial" w:hAnsi="Arial" w:cs="Arial"/>
      <w:i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57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eastAsia="Arial" w:hAnsi="Arial" w:cs="Arial"/>
      <w:i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57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mailto:assaii@uenf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1661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GINFO</cp:lastModifiedBy>
  <cp:revision>3</cp:revision>
  <dcterms:created xsi:type="dcterms:W3CDTF">2024-11-06T14:23:00Z</dcterms:created>
  <dcterms:modified xsi:type="dcterms:W3CDTF">2024-11-06T14:24:00Z</dcterms:modified>
</cp:coreProperties>
</file>